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4245F">
      <w:pPr>
        <w:keepNext w:val="0"/>
        <w:keepLines w:val="0"/>
        <w:pageBreakBefore w:val="0"/>
        <w:kinsoku/>
        <w:wordWrap/>
        <w:overflowPunct/>
        <w:topLinePunct w:val="0"/>
        <w:autoSpaceDE/>
        <w:autoSpaceDN/>
        <w:bidi w:val="0"/>
        <w:adjustRightInd/>
        <w:snapToGrid/>
        <w:spacing w:line="500" w:lineRule="exact"/>
        <w:ind w:left="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14:paraId="498B54FE">
      <w:pPr>
        <w:pStyle w:val="4"/>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上海市科学智能“百团百项”专项</w:t>
      </w:r>
    </w:p>
    <w:p w14:paraId="4BFE9DB1">
      <w:pPr>
        <w:pStyle w:val="4"/>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lang w:eastAsia="zh-CN"/>
        </w:rPr>
        <w:t>联合申报协议</w:t>
      </w:r>
    </w:p>
    <w:p w14:paraId="0AD5735D">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eastAsia="Calibri" w:cs="Calibri"/>
          <w:b/>
          <w:sz w:val="40"/>
        </w:rPr>
      </w:pPr>
    </w:p>
    <w:p w14:paraId="02DE4542">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 xml:space="preserve"> A </w:t>
      </w:r>
    </w:p>
    <w:p w14:paraId="1C73DDCC">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B</w:t>
      </w:r>
      <w:r>
        <w:rPr>
          <w:rFonts w:hint="eastAsia" w:ascii="仿宋_GB2312" w:hAnsi="仿宋_GB2312" w:eastAsia="仿宋_GB2312" w:cs="仿宋_GB2312"/>
          <w:sz w:val="32"/>
          <w:szCs w:val="32"/>
          <w:u w:val="single"/>
          <w:lang w:val="en-US" w:eastAsia="zh-CN"/>
        </w:rPr>
        <w:t xml:space="preserve"> </w:t>
      </w:r>
    </w:p>
    <w:p w14:paraId="1F2EBD11">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丙方：</w:t>
      </w:r>
      <w:r>
        <w:rPr>
          <w:rFonts w:hint="eastAsia" w:ascii="仿宋_GB2312" w:hAnsi="仿宋_GB2312" w:eastAsia="仿宋_GB2312" w:cs="仿宋_GB2312"/>
          <w:sz w:val="32"/>
          <w:szCs w:val="32"/>
          <w:u w:val="single"/>
        </w:rPr>
        <w:t xml:space="preserve"> C</w:t>
      </w:r>
      <w:r>
        <w:rPr>
          <w:rFonts w:hint="eastAsia" w:ascii="仿宋_GB2312" w:hAnsi="仿宋_GB2312" w:eastAsia="仿宋_GB2312" w:cs="仿宋_GB2312"/>
          <w:sz w:val="32"/>
          <w:szCs w:val="32"/>
          <w:u w:val="single"/>
          <w:lang w:val="en-US" w:eastAsia="zh-CN"/>
        </w:rPr>
        <w:t xml:space="preserve"> </w:t>
      </w:r>
    </w:p>
    <w:p w14:paraId="0500AFC2">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hAnsi="仿宋_GB2312" w:eastAsia="仿宋_GB2312" w:cs="仿宋_GB2312"/>
          <w:sz w:val="32"/>
          <w:szCs w:val="32"/>
        </w:rPr>
      </w:pPr>
    </w:p>
    <w:p w14:paraId="0543070B">
      <w:pPr>
        <w:pStyle w:val="4"/>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甲、乙、丙方经协商决定组成联合体，合作申报</w:t>
      </w:r>
      <w:r>
        <w:rPr>
          <w:rFonts w:hint="eastAsia" w:ascii="仿宋_GB2312" w:hAnsi="仿宋_GB2312" w:eastAsia="仿宋_GB2312" w:cs="仿宋_GB2312"/>
          <w:sz w:val="32"/>
          <w:szCs w:val="32"/>
          <w:lang w:val="en-US" w:eastAsia="zh-CN"/>
        </w:rPr>
        <w:t>科学智能“百团百项”</w:t>
      </w:r>
      <w:r>
        <w:rPr>
          <w:rFonts w:hint="eastAsia" w:ascii="仿宋_GB2312" w:hAnsi="仿宋_GB2312" w:eastAsia="仿宋_GB2312" w:cs="仿宋_GB2312"/>
          <w:sz w:val="32"/>
          <w:szCs w:val="32"/>
          <w:u w:val="single"/>
          <w:lang w:eastAsia="zh-CN"/>
        </w:rPr>
        <w:t>“项目名称”</w:t>
      </w:r>
      <w:r>
        <w:rPr>
          <w:rFonts w:hint="eastAsia" w:ascii="仿宋_GB2312" w:hAnsi="仿宋_GB2312" w:eastAsia="仿宋_GB2312" w:cs="仿宋_GB2312"/>
          <w:sz w:val="32"/>
          <w:szCs w:val="32"/>
          <w:lang w:eastAsia="zh-CN"/>
        </w:rPr>
        <w:t>（以下所指项目均为此申报项目），申请上海市经济和信息化委员会（以下简称“经信委”）资助项目经费</w:t>
      </w:r>
      <w:r>
        <w:rPr>
          <w:rFonts w:hint="eastAsia" w:ascii="仿宋_GB2312" w:hAnsi="仿宋_GB2312" w:eastAsia="仿宋_GB2312" w:cs="仿宋_GB2312"/>
          <w:sz w:val="32"/>
          <w:szCs w:val="32"/>
          <w:u w:val="single"/>
          <w:lang w:eastAsia="zh-CN"/>
        </w:rPr>
        <w:t xml:space="preserve"> X </w:t>
      </w:r>
      <w:r>
        <w:rPr>
          <w:rFonts w:hint="eastAsia" w:ascii="仿宋_GB2312" w:hAnsi="仿宋_GB2312" w:eastAsia="仿宋_GB2312" w:cs="仿宋_GB2312"/>
          <w:sz w:val="32"/>
          <w:szCs w:val="32"/>
          <w:lang w:eastAsia="zh-CN"/>
        </w:rPr>
        <w:t>（万元），由甲方自筹</w:t>
      </w:r>
      <w:r>
        <w:rPr>
          <w:rFonts w:hint="eastAsia" w:ascii="仿宋_GB2312" w:hAnsi="仿宋_GB2312" w:eastAsia="仿宋_GB2312" w:cs="仿宋_GB2312"/>
          <w:sz w:val="32"/>
          <w:szCs w:val="32"/>
          <w:u w:val="single"/>
          <w:lang w:eastAsia="zh-CN"/>
        </w:rPr>
        <w:t xml:space="preserve">  X  </w:t>
      </w:r>
      <w:r>
        <w:rPr>
          <w:rFonts w:hint="eastAsia" w:ascii="仿宋_GB2312" w:hAnsi="仿宋_GB2312" w:eastAsia="仿宋_GB2312" w:cs="仿宋_GB2312"/>
          <w:sz w:val="32"/>
          <w:szCs w:val="32"/>
          <w:lang w:eastAsia="zh-CN"/>
        </w:rPr>
        <w:t>、乙方自筹</w:t>
      </w:r>
      <w:r>
        <w:rPr>
          <w:rFonts w:hint="eastAsia" w:ascii="仿宋_GB2312" w:hAnsi="仿宋_GB2312" w:eastAsia="仿宋_GB2312" w:cs="仿宋_GB2312"/>
          <w:sz w:val="32"/>
          <w:szCs w:val="32"/>
          <w:u w:val="single"/>
          <w:lang w:eastAsia="zh-CN"/>
        </w:rPr>
        <w:t xml:space="preserve">  X  </w:t>
      </w:r>
      <w:r>
        <w:rPr>
          <w:rFonts w:hint="eastAsia" w:ascii="仿宋_GB2312" w:hAnsi="仿宋_GB2312" w:eastAsia="仿宋_GB2312" w:cs="仿宋_GB2312"/>
          <w:sz w:val="32"/>
          <w:szCs w:val="32"/>
          <w:lang w:eastAsia="zh-CN"/>
        </w:rPr>
        <w:t>、丙方自筹</w:t>
      </w:r>
      <w:r>
        <w:rPr>
          <w:rFonts w:hint="eastAsia" w:ascii="仿宋_GB2312" w:hAnsi="仿宋_GB2312" w:eastAsia="仿宋_GB2312" w:cs="仿宋_GB2312"/>
          <w:sz w:val="32"/>
          <w:szCs w:val="32"/>
          <w:u w:val="single"/>
          <w:lang w:eastAsia="zh-CN"/>
        </w:rPr>
        <w:t xml:space="preserve">  X</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作为该项目的配套经费，并达成以下合作协议，三方共同恪守。</w:t>
      </w:r>
    </w:p>
    <w:p w14:paraId="2B491A04">
      <w:pPr>
        <w:keepNext w:val="0"/>
        <w:keepLines w:val="0"/>
        <w:pageBreakBefore w:val="0"/>
        <w:numPr>
          <w:ilvl w:val="0"/>
          <w:numId w:val="1"/>
        </w:numPr>
        <w:kinsoku/>
        <w:wordWrap/>
        <w:overflowPunct/>
        <w:topLinePunct w:val="0"/>
        <w:autoSpaceDE/>
        <w:autoSpaceDN/>
        <w:bidi w:val="0"/>
        <w:adjustRightInd/>
        <w:snapToGrid/>
        <w:spacing w:line="500" w:lineRule="exact"/>
        <w:ind w:left="0" w:hanging="42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项目合作期限</w:t>
      </w:r>
    </w:p>
    <w:p w14:paraId="038C380A">
      <w:pPr>
        <w:keepNext w:val="0"/>
        <w:keepLines w:val="0"/>
        <w:pageBreakBefore w:val="0"/>
        <w:kinsoku/>
        <w:wordWrap/>
        <w:overflowPunct/>
        <w:topLinePunct w:val="0"/>
        <w:autoSpaceDE/>
        <w:autoSpaceDN/>
        <w:bidi w:val="0"/>
        <w:adjustRightInd/>
        <w:snapToGrid/>
        <w:spacing w:line="5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202X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 至</w:t>
      </w:r>
      <w:r>
        <w:rPr>
          <w:rFonts w:hint="eastAsia" w:ascii="仿宋_GB2312" w:hAnsi="仿宋_GB2312" w:eastAsia="仿宋_GB2312" w:cs="仿宋_GB2312"/>
          <w:sz w:val="32"/>
          <w:szCs w:val="32"/>
          <w:u w:val="single"/>
        </w:rPr>
        <w:t xml:space="preserve"> 20XX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日，以经信委实际立项文件时间为准。</w:t>
      </w:r>
    </w:p>
    <w:p w14:paraId="7AB14E0C">
      <w:pPr>
        <w:keepNext w:val="0"/>
        <w:keepLines w:val="0"/>
        <w:pageBreakBefore w:val="0"/>
        <w:kinsoku/>
        <w:wordWrap/>
        <w:overflowPunct/>
        <w:topLinePunct w:val="0"/>
        <w:autoSpaceDE/>
        <w:autoSpaceDN/>
        <w:bidi w:val="0"/>
        <w:adjustRightInd/>
        <w:snapToGrid/>
        <w:spacing w:line="500" w:lineRule="exact"/>
        <w:ind w:left="0" w:firstLine="61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如项目获批立项后发生延期，则本协议有效期自动延长至项目结题通过为止。</w:t>
      </w:r>
    </w:p>
    <w:p w14:paraId="04345B68">
      <w:pPr>
        <w:keepNext w:val="0"/>
        <w:keepLines w:val="0"/>
        <w:pageBreakBefore w:val="0"/>
        <w:numPr>
          <w:ilvl w:val="0"/>
          <w:numId w:val="1"/>
        </w:numPr>
        <w:kinsoku/>
        <w:wordWrap/>
        <w:overflowPunct/>
        <w:topLinePunct w:val="0"/>
        <w:autoSpaceDE/>
        <w:autoSpaceDN/>
        <w:bidi w:val="0"/>
        <w:adjustRightInd/>
        <w:snapToGrid/>
        <w:spacing w:line="500" w:lineRule="exact"/>
        <w:ind w:left="0" w:hanging="42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合作内容</w:t>
      </w:r>
    </w:p>
    <w:p w14:paraId="274CE782">
      <w:pPr>
        <w:keepNext w:val="0"/>
        <w:keepLines w:val="0"/>
        <w:pageBreakBefore w:val="0"/>
        <w:kinsoku/>
        <w:wordWrap/>
        <w:overflowPunct/>
        <w:topLinePunct w:val="0"/>
        <w:autoSpaceDE/>
        <w:autoSpaceDN/>
        <w:bidi w:val="0"/>
        <w:adjustRightInd/>
        <w:snapToGrid/>
        <w:spacing w:line="500" w:lineRule="exact"/>
        <w:ind w:left="0" w:firstLine="616"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方将共同参与并完成“</w:t>
      </w:r>
      <w:r>
        <w:rPr>
          <w:rFonts w:hint="eastAsia" w:ascii="仿宋_GB2312" w:hAnsi="仿宋_GB2312" w:eastAsia="仿宋_GB2312" w:cs="仿宋_GB2312"/>
          <w:sz w:val="32"/>
          <w:szCs w:val="32"/>
          <w:u w:val="single"/>
        </w:rPr>
        <w:t xml:space="preserve">              （项目名称）”</w:t>
      </w:r>
      <w:r>
        <w:rPr>
          <w:rFonts w:hint="eastAsia" w:ascii="仿宋_GB2312" w:hAnsi="仿宋_GB2312" w:eastAsia="仿宋_GB2312" w:cs="仿宋_GB2312"/>
          <w:sz w:val="32"/>
          <w:szCs w:val="32"/>
        </w:rPr>
        <w:t>，具体合作内容包括：</w:t>
      </w:r>
      <w:r>
        <w:rPr>
          <w:rFonts w:hint="eastAsia" w:ascii="仿宋_GB2312" w:hAnsi="仿宋_GB2312" w:eastAsia="仿宋_GB2312" w:cs="仿宋_GB2312"/>
          <w:sz w:val="32"/>
          <w:szCs w:val="32"/>
          <w:u w:val="single"/>
        </w:rPr>
        <w:t xml:space="preserve">                                        </w:t>
      </w:r>
    </w:p>
    <w:tbl>
      <w:tblPr>
        <w:tblStyle w:val="2"/>
        <w:tblW w:w="809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6"/>
      </w:tblGrid>
      <w:tr w14:paraId="1512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96" w:type="dxa"/>
            <w:noWrap w:val="0"/>
            <w:vAlign w:val="top"/>
          </w:tcPr>
          <w:p w14:paraId="35DD6440">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hanging="3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合作内容1： </w:t>
            </w:r>
          </w:p>
          <w:p w14:paraId="7D996356">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hanging="3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合作内容2： </w:t>
            </w:r>
          </w:p>
          <w:p w14:paraId="2BC2D308">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仿宋_GB2312" w:hAnsi="仿宋_GB2312" w:eastAsia="仿宋_GB2312" w:cs="仿宋_GB2312"/>
                <w:sz w:val="28"/>
                <w:szCs w:val="28"/>
              </w:rPr>
            </w:pPr>
          </w:p>
          <w:p w14:paraId="0F7912F2">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仿宋_GB2312" w:hAnsi="仿宋_GB2312" w:eastAsia="仿宋_GB2312" w:cs="仿宋_GB2312"/>
                <w:sz w:val="28"/>
                <w:szCs w:val="28"/>
              </w:rPr>
            </w:pPr>
          </w:p>
        </w:tc>
      </w:tr>
    </w:tbl>
    <w:p w14:paraId="489CEDF7">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hanging="4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各方权责</w:t>
      </w:r>
    </w:p>
    <w:p w14:paraId="4E3C357B">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甲方职责（</w:t>
      </w:r>
      <w:bookmarkStart w:id="0" w:name="_Hlk515143146"/>
      <w:r>
        <w:rPr>
          <w:rFonts w:hint="eastAsia" w:ascii="仿宋_GB2312" w:hAnsi="仿宋_GB2312" w:eastAsia="仿宋_GB2312" w:cs="仿宋_GB2312"/>
          <w:sz w:val="32"/>
          <w:szCs w:val="32"/>
        </w:rPr>
        <w:t>A</w:t>
      </w:r>
      <w:bookmarkEnd w:id="0"/>
      <w:r>
        <w:rPr>
          <w:rFonts w:hint="eastAsia" w:ascii="仿宋_GB2312" w:hAnsi="仿宋_GB2312" w:eastAsia="仿宋_GB2312" w:cs="仿宋_GB2312"/>
          <w:sz w:val="32"/>
          <w:szCs w:val="32"/>
        </w:rPr>
        <w:t>）</w:t>
      </w:r>
    </w:p>
    <w:p w14:paraId="5230D8DA">
      <w:pPr>
        <w:keepNext w:val="0"/>
        <w:keepLines w:val="0"/>
        <w:pageBreakBefore w:val="0"/>
        <w:widowControl w:val="0"/>
        <w:kinsoku/>
        <w:wordWrap/>
        <w:overflowPunct/>
        <w:topLinePunct w:val="0"/>
        <w:autoSpaceDE/>
        <w:autoSpaceDN/>
        <w:bidi w:val="0"/>
        <w:adjustRightInd/>
        <w:snapToGrid/>
        <w:spacing w:line="480" w:lineRule="exact"/>
        <w:ind w:left="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作为联合体牵头单位，负责组织管理项目，包括项目资金（包括专项支持资金）、进度和质量，定期向主管部门汇报项目进展情况，组织相关技术/方案评审，协调联合体其他各方之间的关系，组织采购项目相关的软硬件设备。</w:t>
      </w:r>
    </w:p>
    <w:p w14:paraId="393D12F3">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乙方职责（</w:t>
      </w:r>
      <w:bookmarkStart w:id="1" w:name="_Hlk515143151"/>
      <w:r>
        <w:rPr>
          <w:rFonts w:hint="eastAsia" w:ascii="仿宋_GB2312" w:hAnsi="仿宋_GB2312" w:eastAsia="仿宋_GB2312" w:cs="仿宋_GB2312"/>
          <w:sz w:val="32"/>
          <w:szCs w:val="32"/>
        </w:rPr>
        <w:t>B</w:t>
      </w:r>
      <w:bookmarkEnd w:id="1"/>
      <w:r>
        <w:rPr>
          <w:rFonts w:hint="eastAsia" w:ascii="仿宋_GB2312" w:hAnsi="仿宋_GB2312" w:eastAsia="仿宋_GB2312" w:cs="仿宋_GB2312"/>
          <w:sz w:val="32"/>
          <w:szCs w:val="32"/>
        </w:rPr>
        <w:t>）</w:t>
      </w:r>
    </w:p>
    <w:p w14:paraId="122ABAD2">
      <w:pPr>
        <w:keepNext w:val="0"/>
        <w:keepLines w:val="0"/>
        <w:pageBreakBefore w:val="0"/>
        <w:widowControl w:val="0"/>
        <w:kinsoku/>
        <w:wordWrap/>
        <w:overflowPunct/>
        <w:topLinePunct w:val="0"/>
        <w:autoSpaceDE/>
        <w:autoSpaceDN/>
        <w:bidi w:val="0"/>
        <w:adjustRightInd/>
        <w:snapToGrid/>
        <w:spacing w:line="480" w:lineRule="exact"/>
        <w:ind w:left="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乙方作为联合单位，负责配合甲方完成主管部门对项目的监管要求，提供项目相关支持工作，如期优质地完成本协议及后续补充协议/合同规定的其他工作内容。</w:t>
      </w:r>
    </w:p>
    <w:p w14:paraId="6BBB9099">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丙方职责（C）</w:t>
      </w:r>
    </w:p>
    <w:p w14:paraId="7A4A1621">
      <w:pPr>
        <w:keepNext w:val="0"/>
        <w:keepLines w:val="0"/>
        <w:pageBreakBefore w:val="0"/>
        <w:widowControl w:val="0"/>
        <w:kinsoku/>
        <w:wordWrap/>
        <w:overflowPunct/>
        <w:topLinePunct w:val="0"/>
        <w:autoSpaceDE/>
        <w:autoSpaceDN/>
        <w:bidi w:val="0"/>
        <w:adjustRightInd/>
        <w:snapToGrid/>
        <w:spacing w:line="480" w:lineRule="exact"/>
        <w:ind w:left="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丙方作为联合单位，负责配合甲方完成主管部门对项目的监管要求，提供项目相关支持工作，如期优质地完成本协议及后续补充协议/合同规定的其他工作内容。</w:t>
      </w:r>
    </w:p>
    <w:p w14:paraId="30BD83EB">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hanging="4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任务分工</w:t>
      </w:r>
    </w:p>
    <w:p w14:paraId="6EC9C95C">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甲方职责（A）</w:t>
      </w:r>
    </w:p>
    <w:p w14:paraId="608F8A46">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建设内容1： </w:t>
      </w:r>
    </w:p>
    <w:p w14:paraId="701A8295">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建设内容2： </w:t>
      </w:r>
    </w:p>
    <w:p w14:paraId="3A860321">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考核指标1：</w:t>
      </w:r>
    </w:p>
    <w:p w14:paraId="4B8DB2FF">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2CD47DAC">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乙方职责（B）</w:t>
      </w:r>
    </w:p>
    <w:p w14:paraId="629D736E">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建设内容1： </w:t>
      </w:r>
    </w:p>
    <w:p w14:paraId="3A21FC8F">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建设内容2： </w:t>
      </w:r>
    </w:p>
    <w:p w14:paraId="7C3FAE76">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考核指标1：</w:t>
      </w:r>
    </w:p>
    <w:p w14:paraId="7896ADDF">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1DD45CB3">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丙方职责（C）</w:t>
      </w:r>
    </w:p>
    <w:p w14:paraId="77A9B757">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建设内容1：</w:t>
      </w:r>
    </w:p>
    <w:p w14:paraId="20D4E6FB">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建设内容2：</w:t>
      </w:r>
    </w:p>
    <w:p w14:paraId="684618FF">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考核指标1：</w:t>
      </w:r>
    </w:p>
    <w:p w14:paraId="174287E9">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hanging="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14:paraId="6A65D7C4">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hanging="4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经费分配</w:t>
      </w:r>
    </w:p>
    <w:p w14:paraId="3F93320D">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如本申报项目获批立项，根据上述合作内容与任务分工，对经信委下达的该项目资助经费，按如下分配：甲方</w:t>
      </w:r>
      <w:r>
        <w:rPr>
          <w:rFonts w:hint="eastAsia" w:ascii="仿宋_GB2312" w:hAnsi="仿宋_GB2312" w:eastAsia="仿宋_GB2312" w:cs="仿宋_GB2312"/>
          <w:sz w:val="32"/>
          <w:szCs w:val="32"/>
          <w:u w:val="single"/>
        </w:rPr>
        <w:t xml:space="preserve"> X </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X</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，丙方</w:t>
      </w:r>
      <w:r>
        <w:rPr>
          <w:rFonts w:hint="eastAsia" w:ascii="仿宋_GB2312" w:hAnsi="仿宋_GB2312" w:eastAsia="仿宋_GB2312" w:cs="仿宋_GB2312"/>
          <w:sz w:val="32"/>
          <w:szCs w:val="32"/>
          <w:u w:val="single"/>
        </w:rPr>
        <w:t xml:space="preserve"> X </w:t>
      </w:r>
      <w:r>
        <w:rPr>
          <w:rFonts w:hint="eastAsia" w:ascii="仿宋_GB2312" w:hAnsi="仿宋_GB2312" w:eastAsia="仿宋_GB2312" w:cs="仿宋_GB2312"/>
          <w:sz w:val="32"/>
          <w:szCs w:val="32"/>
        </w:rPr>
        <w:t>。</w:t>
      </w:r>
    </w:p>
    <w:p w14:paraId="1B31B201">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经信委资助经费严格按照有关规定使用，做到专款专用，单独核算、专项管理，确保课题顺利完成。</w:t>
      </w:r>
    </w:p>
    <w:p w14:paraId="361D3212">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经信委资助的各方支配的经费所购置的设备归各方所有。各方自筹经费所购置的设备归各方所有。</w:t>
      </w:r>
    </w:p>
    <w:p w14:paraId="6121551B">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甲方在收到经信委下达的资助经费后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天内将各方所占经费支付给指定账户。</w:t>
      </w:r>
    </w:p>
    <w:p w14:paraId="4BEBC0E3">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方在项目进行过程中发现某方有重大违背项目计划（含进度和质量）导致项目不能按时完成的，另外几方应及时提出，对方仍不改正的，另几方有权终止合作并请主管部门进行协调，并保留要求违约方立即退还政府资助经费部分和对已经投入的研究资金及造成的损失给予补偿的权利。</w:t>
      </w:r>
    </w:p>
    <w:p w14:paraId="35D9B6C8">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hanging="4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联合体组织方式和运营机制</w:t>
      </w:r>
    </w:p>
    <w:p w14:paraId="78D991A4">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hanging="4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知识产权</w:t>
      </w:r>
    </w:p>
    <w:p w14:paraId="1D9FEA86">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hanging="42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其他</w:t>
      </w:r>
    </w:p>
    <w:p w14:paraId="4A99B559">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份，其中</w:t>
      </w:r>
      <w:r>
        <w:rPr>
          <w:rFonts w:hint="eastAsia" w:ascii="仿宋_GB2312" w:hAnsi="仿宋_GB2312" w:eastAsia="仿宋_GB2312" w:cs="仿宋_GB2312"/>
          <w:sz w:val="32"/>
          <w:szCs w:val="32"/>
          <w:u w:val="single"/>
        </w:rPr>
        <w:t>叁</w:t>
      </w:r>
      <w:r>
        <w:rPr>
          <w:rFonts w:hint="eastAsia" w:ascii="仿宋_GB2312" w:hAnsi="仿宋_GB2312" w:eastAsia="仿宋_GB2312" w:cs="仿宋_GB2312"/>
          <w:sz w:val="32"/>
          <w:szCs w:val="32"/>
        </w:rPr>
        <w:t>份作为“</w:t>
      </w:r>
      <w:r>
        <w:rPr>
          <w:rFonts w:hint="eastAsia" w:ascii="仿宋_GB2312" w:hAnsi="仿宋_GB2312" w:eastAsia="仿宋_GB2312" w:cs="仿宋_GB2312"/>
          <w:sz w:val="32"/>
          <w:szCs w:val="32"/>
          <w:u w:val="single"/>
        </w:rPr>
        <w:t xml:space="preserve">       （项目名称）”</w:t>
      </w:r>
      <w:r>
        <w:rPr>
          <w:rFonts w:hint="eastAsia" w:ascii="仿宋_GB2312" w:hAnsi="仿宋_GB2312" w:eastAsia="仿宋_GB2312" w:cs="仿宋_GB2312"/>
          <w:sz w:val="32"/>
          <w:szCs w:val="32"/>
        </w:rPr>
        <w:t>项目附件材料上报，另外甲、乙、丙各持</w:t>
      </w:r>
      <w:r>
        <w:rPr>
          <w:rFonts w:hint="eastAsia" w:ascii="仿宋_GB2312" w:hAnsi="仿宋_GB2312" w:eastAsia="仿宋_GB2312" w:cs="仿宋_GB2312"/>
          <w:sz w:val="32"/>
          <w:szCs w:val="32"/>
          <w:u w:val="single"/>
        </w:rPr>
        <w:t xml:space="preserve">  壹  </w:t>
      </w:r>
      <w:r>
        <w:rPr>
          <w:rFonts w:hint="eastAsia" w:ascii="仿宋_GB2312" w:hAnsi="仿宋_GB2312" w:eastAsia="仿宋_GB2312" w:cs="仿宋_GB2312"/>
          <w:sz w:val="32"/>
          <w:szCs w:val="32"/>
        </w:rPr>
        <w:t>份，自甲、乙、丙各方签字盖章之日起具有同等法律效力。</w:t>
      </w:r>
    </w:p>
    <w:p w14:paraId="5C0EA2B4">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hanging="3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本协议未尽事宜，各方应本着互惠互利、友好协商的原则另行协商约定。</w:t>
      </w:r>
    </w:p>
    <w:p w14:paraId="1AD881D0">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br w:type="page"/>
      </w:r>
      <w:r>
        <w:rPr>
          <w:rFonts w:hint="eastAsia" w:ascii="仿宋_GB2312" w:hAnsi="仿宋_GB2312" w:eastAsia="仿宋_GB2312" w:cs="仿宋_GB2312"/>
          <w:sz w:val="32"/>
          <w:szCs w:val="32"/>
        </w:rPr>
        <w:t>甲方： A</w:t>
      </w:r>
    </w:p>
    <w:p w14:paraId="4A92A444">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法人代表或授权人（签章）：                    </w:t>
      </w:r>
    </w:p>
    <w:p w14:paraId="273BB570">
      <w:pPr>
        <w:spacing w:line="500" w:lineRule="exact"/>
        <w:ind w:left="420" w:firstLine="3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6E9D175B">
      <w:pPr>
        <w:spacing w:line="500" w:lineRule="exact"/>
        <w:ind w:left="420" w:firstLine="360"/>
        <w:rPr>
          <w:rFonts w:hint="eastAsia" w:ascii="仿宋_GB2312" w:hAnsi="仿宋_GB2312" w:eastAsia="仿宋_GB2312" w:cs="仿宋_GB2312"/>
          <w:sz w:val="32"/>
          <w:szCs w:val="32"/>
        </w:rPr>
      </w:pPr>
    </w:p>
    <w:p w14:paraId="5BA2D41A">
      <w:pPr>
        <w:spacing w:line="500" w:lineRule="exact"/>
        <w:ind w:left="420" w:firstLine="360"/>
        <w:rPr>
          <w:rFonts w:hint="eastAsia" w:ascii="仿宋_GB2312" w:hAnsi="仿宋_GB2312" w:eastAsia="仿宋_GB2312" w:cs="仿宋_GB2312"/>
          <w:sz w:val="32"/>
          <w:szCs w:val="32"/>
        </w:rPr>
      </w:pPr>
    </w:p>
    <w:p w14:paraId="09D7899B">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 B</w:t>
      </w:r>
    </w:p>
    <w:p w14:paraId="08078DF8">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法人代表或授权人（签章）：                    </w:t>
      </w:r>
    </w:p>
    <w:p w14:paraId="1166E2F7">
      <w:pPr>
        <w:spacing w:line="500" w:lineRule="exact"/>
        <w:ind w:left="420" w:firstLine="3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78679C5F">
      <w:pPr>
        <w:spacing w:line="500" w:lineRule="exact"/>
        <w:ind w:left="420" w:firstLine="360"/>
        <w:rPr>
          <w:rFonts w:hint="eastAsia" w:ascii="仿宋_GB2312" w:hAnsi="仿宋_GB2312" w:eastAsia="仿宋_GB2312" w:cs="仿宋_GB2312"/>
          <w:sz w:val="32"/>
          <w:szCs w:val="32"/>
        </w:rPr>
      </w:pPr>
    </w:p>
    <w:p w14:paraId="695AA193">
      <w:pPr>
        <w:spacing w:line="500" w:lineRule="exact"/>
        <w:ind w:left="420" w:firstLine="360"/>
        <w:rPr>
          <w:rFonts w:hint="eastAsia" w:ascii="仿宋_GB2312" w:hAnsi="仿宋_GB2312" w:eastAsia="仿宋_GB2312" w:cs="仿宋_GB2312"/>
          <w:sz w:val="32"/>
          <w:szCs w:val="32"/>
        </w:rPr>
      </w:pPr>
    </w:p>
    <w:p w14:paraId="06C236C3">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丙方： </w:t>
      </w:r>
      <w:bookmarkStart w:id="2" w:name="_Hlk515143660"/>
      <w:r>
        <w:rPr>
          <w:rFonts w:hint="eastAsia" w:ascii="仿宋_GB2312" w:hAnsi="仿宋_GB2312" w:eastAsia="仿宋_GB2312" w:cs="仿宋_GB2312"/>
          <w:sz w:val="32"/>
          <w:szCs w:val="32"/>
        </w:rPr>
        <w:t>C</w:t>
      </w:r>
      <w:bookmarkEnd w:id="2"/>
    </w:p>
    <w:p w14:paraId="720B4A95">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法人代表或授权人（签章）：                    </w:t>
      </w:r>
    </w:p>
    <w:p w14:paraId="299D4A6D">
      <w:pPr>
        <w:spacing w:line="500" w:lineRule="exact"/>
        <w:ind w:left="420" w:firstLine="3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2F7D1B0A">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60000" w:csb1="00000000"/>
  </w:font>
  <w:font w:name="方正小标宋简体">
    <w:altName w:val="汉仪书宋二KW"/>
    <w:panose1 w:val="03000509000000000000"/>
    <w:charset w:val="00"/>
    <w:family w:val="script"/>
    <w:pitch w:val="default"/>
    <w:sig w:usb0="00000000" w:usb1="00000000" w:usb2="00000000" w:usb3="00000000" w:csb0="0006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E11B8"/>
    <w:multiLevelType w:val="multilevel"/>
    <w:tmpl w:val="1D8E11B8"/>
    <w:lvl w:ilvl="0" w:tentative="0">
      <w:start w:val="1"/>
      <w:numFmt w:val="bullet"/>
      <w:lvlText w:val=""/>
      <w:lvlJc w:val="left"/>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4E04F45"/>
    <w:multiLevelType w:val="multilevel"/>
    <w:tmpl w:val="24E04F45"/>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2">
    <w:nsid w:val="30130588"/>
    <w:multiLevelType w:val="multilevel"/>
    <w:tmpl w:val="30130588"/>
    <w:lvl w:ilvl="0" w:tentative="0">
      <w:start w:val="1"/>
      <w:numFmt w:val="bullet"/>
      <w:lvlText w:val=""/>
      <w:lvlJc w:val="left"/>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0B94CCA"/>
    <w:multiLevelType w:val="multilevel"/>
    <w:tmpl w:val="40B94CC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59E2253"/>
    <w:multiLevelType w:val="multilevel"/>
    <w:tmpl w:val="659E2253"/>
    <w:lvl w:ilvl="0" w:tentative="0">
      <w:start w:val="1"/>
      <w:numFmt w:val="bullet"/>
      <w:lvlText w:val=""/>
      <w:lvlJc w:val="left"/>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D5746A6"/>
    <w:multiLevelType w:val="multilevel"/>
    <w:tmpl w:val="7D5746A6"/>
    <w:lvl w:ilvl="0" w:tentative="0">
      <w:start w:val="1"/>
      <w:numFmt w:val="bullet"/>
      <w:lvlText w:val=""/>
      <w:lvlJc w:val="left"/>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F084C"/>
    <w:rsid w:val="FEFF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0"/>
    <w:qFormat/>
    <w:uiPriority w:val="0"/>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2025-07-29T10:48:00Z</dcterms:created>
  <dc:creator>Jia。</dc:creator>
  <cp:lastModifiedBy>Jia。</cp:lastModifiedBy>
  <dcterms:modified xsi:type="dcterms:W3CDTF">2025-07-29T10:49:18Z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4738DC44747D4C518D368868DA5FD1E6_41</vt:lpwstr>
  </property>
</Properties>
</file>