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596B9">
      <w:pPr>
        <w:spacing w:before="208" w:line="207" w:lineRule="auto"/>
        <w:jc w:val="left"/>
        <w:rPr>
          <w:rFonts w:ascii="黑体" w:hAnsi="黑体" w:eastAsia="黑体" w:cs="方正小标宋简体"/>
          <w:spacing w:val="-14"/>
          <w:sz w:val="32"/>
          <w:szCs w:val="32"/>
        </w:rPr>
      </w:pPr>
      <w:r>
        <w:rPr>
          <w:rFonts w:hint="eastAsia" w:ascii="黑体" w:hAnsi="黑体" w:eastAsia="黑体" w:cs="方正小标宋简体"/>
          <w:spacing w:val="-14"/>
          <w:sz w:val="32"/>
          <w:szCs w:val="32"/>
        </w:rPr>
        <w:t>附件1</w:t>
      </w:r>
    </w:p>
    <w:p w14:paraId="1442BED6">
      <w:pPr>
        <w:spacing w:before="208" w:line="207" w:lineRule="auto"/>
        <w:jc w:val="center"/>
        <w:rPr>
          <w:rFonts w:ascii="黑体" w:hAnsi="黑体" w:eastAsia="黑体" w:cs="黑体"/>
          <w:spacing w:val="-14"/>
          <w:sz w:val="36"/>
          <w:szCs w:val="36"/>
        </w:rPr>
      </w:pPr>
      <w:bookmarkStart w:id="0" w:name="_GoBack"/>
      <w:r>
        <w:rPr>
          <w:rFonts w:hint="eastAsia" w:ascii="黑体" w:hAnsi="黑体" w:eastAsia="黑体" w:cs="黑体"/>
          <w:spacing w:val="-14"/>
          <w:sz w:val="36"/>
          <w:szCs w:val="36"/>
        </w:rPr>
        <w:t>2024年度上海市元宇宙新赛道优秀创新产品成果集</w:t>
      </w:r>
      <w:bookmarkEnd w:id="0"/>
      <w:r>
        <w:rPr>
          <w:rFonts w:hint="eastAsia" w:ascii="黑体" w:hAnsi="黑体" w:eastAsia="黑体" w:cs="黑体"/>
          <w:spacing w:val="-14"/>
          <w:sz w:val="36"/>
          <w:szCs w:val="36"/>
        </w:rPr>
        <w:t>（排名不分先后）</w:t>
      </w:r>
    </w:p>
    <w:tbl>
      <w:tblPr>
        <w:tblStyle w:val="6"/>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57"/>
        <w:gridCol w:w="1357"/>
        <w:gridCol w:w="1234"/>
        <w:gridCol w:w="1234"/>
        <w:gridCol w:w="6142"/>
        <w:gridCol w:w="1231"/>
        <w:gridCol w:w="1496"/>
      </w:tblGrid>
      <w:tr w14:paraId="3A6B8A51">
        <w:trPr>
          <w:trHeight w:val="851" w:hRule="atLeast"/>
        </w:trPr>
        <w:tc>
          <w:tcPr>
            <w:tcW w:w="689" w:type="dxa"/>
            <w:vAlign w:val="center"/>
          </w:tcPr>
          <w:p w14:paraId="44D659F5">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57" w:type="dxa"/>
            <w:vAlign w:val="center"/>
          </w:tcPr>
          <w:p w14:paraId="515A3027">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细分赛道</w:t>
            </w:r>
          </w:p>
        </w:tc>
        <w:tc>
          <w:tcPr>
            <w:tcW w:w="1357" w:type="dxa"/>
            <w:vAlign w:val="center"/>
          </w:tcPr>
          <w:p w14:paraId="280AFC66">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单位名称</w:t>
            </w:r>
          </w:p>
        </w:tc>
        <w:tc>
          <w:tcPr>
            <w:tcW w:w="1234" w:type="dxa"/>
            <w:vAlign w:val="center"/>
          </w:tcPr>
          <w:p w14:paraId="06529BA9">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企业性质</w:t>
            </w:r>
          </w:p>
        </w:tc>
        <w:tc>
          <w:tcPr>
            <w:tcW w:w="1234" w:type="dxa"/>
            <w:vAlign w:val="center"/>
          </w:tcPr>
          <w:p w14:paraId="5870184A">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成果名称</w:t>
            </w:r>
          </w:p>
        </w:tc>
        <w:tc>
          <w:tcPr>
            <w:tcW w:w="6142" w:type="dxa"/>
            <w:vAlign w:val="center"/>
          </w:tcPr>
          <w:p w14:paraId="49E1FD39">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简介</w:t>
            </w:r>
          </w:p>
        </w:tc>
        <w:tc>
          <w:tcPr>
            <w:tcW w:w="1231" w:type="dxa"/>
            <w:vAlign w:val="center"/>
          </w:tcPr>
          <w:p w14:paraId="387F7C6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1496" w:type="dxa"/>
            <w:vAlign w:val="center"/>
          </w:tcPr>
          <w:p w14:paraId="6E93C9D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r>
      <w:tr w14:paraId="11AB3EF5">
        <w:trPr>
          <w:trHeight w:val="3827" w:hRule="atLeast"/>
        </w:trPr>
        <w:tc>
          <w:tcPr>
            <w:tcW w:w="689" w:type="dxa"/>
          </w:tcPr>
          <w:p w14:paraId="154F4498">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357" w:type="dxa"/>
            <w:shd w:val="clear" w:color="auto" w:fill="auto"/>
          </w:tcPr>
          <w:p w14:paraId="3FDFDC42">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XR眼镜</w:t>
            </w:r>
          </w:p>
        </w:tc>
        <w:tc>
          <w:tcPr>
            <w:tcW w:w="1357" w:type="dxa"/>
            <w:shd w:val="clear" w:color="auto" w:fill="auto"/>
          </w:tcPr>
          <w:p w14:paraId="55D4AE6C">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宏达通讯有限公司</w:t>
            </w:r>
          </w:p>
        </w:tc>
        <w:tc>
          <w:tcPr>
            <w:tcW w:w="1234" w:type="dxa"/>
            <w:shd w:val="clear" w:color="auto" w:fill="auto"/>
          </w:tcPr>
          <w:p w14:paraId="700B861B">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外资</w:t>
            </w:r>
          </w:p>
        </w:tc>
        <w:tc>
          <w:tcPr>
            <w:tcW w:w="1234" w:type="dxa"/>
            <w:shd w:val="clear" w:color="auto" w:fill="auto"/>
          </w:tcPr>
          <w:p w14:paraId="6B94AA20">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新一代XR头显VIVE Focus Vision</w:t>
            </w:r>
          </w:p>
        </w:tc>
        <w:tc>
          <w:tcPr>
            <w:tcW w:w="6142" w:type="dxa"/>
            <w:shd w:val="clear" w:color="auto" w:fill="auto"/>
          </w:tcPr>
          <w:p w14:paraId="4F4C046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该产品是HTC VIVE Focus系列的最新XR头显设备，可用于PCVR和一体机游戏、线下大空间娱乐（LBE）、企业培训、高效协作以及MR应用等场景，党务政务、交通、工业、教育培训等领域，特点如下：</w:t>
            </w:r>
          </w:p>
          <w:p w14:paraId="243C537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1.内置眼动追踪与瞳距自动调节功能：眼动追踪可以提供注视输入、虚拟化身眼球控制，并通过中心点渲染实现性能优化。带来清晰舒适的观看体验，提升多用户更替使用场景的工作效率。</w:t>
            </w:r>
          </w:p>
          <w:p w14:paraId="03D096B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2.支持DisplayPort模式：为PC VR串流带来无损视觉体验。</w:t>
            </w:r>
          </w:p>
          <w:p w14:paraId="56588D8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3.1600万像素双摄像头：可实现立体全彩透视。</w:t>
            </w:r>
          </w:p>
          <w:p w14:paraId="4F3CB5D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4.双眼5K的分辨率，最高120度视场角，90Hz刷新率：带来出色视觉体验。</w:t>
            </w:r>
          </w:p>
          <w:p w14:paraId="0304271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5.弱光条件下增强追踪效果的红外传感器和用于场景识别的深度传感器：在昏暗环境中也可通过手势来控制VR/MR。</w:t>
            </w:r>
          </w:p>
        </w:tc>
        <w:tc>
          <w:tcPr>
            <w:tcW w:w="1231" w:type="dxa"/>
            <w:shd w:val="clear" w:color="auto" w:fill="auto"/>
          </w:tcPr>
          <w:p w14:paraId="078D5169">
            <w:pPr>
              <w:rPr>
                <w:rFonts w:ascii="仿宋_GB2312" w:hAnsi="仿宋_GB2312" w:eastAsia="仿宋_GB2312" w:cs="仿宋_GB2312"/>
                <w:szCs w:val="21"/>
              </w:rPr>
            </w:pPr>
            <w:r>
              <w:rPr>
                <w:rFonts w:hint="eastAsia" w:ascii="仿宋_GB2312" w:hAnsi="仿宋_GB2312" w:eastAsia="仿宋_GB2312" w:cs="仿宋_GB2312"/>
                <w:szCs w:val="21"/>
              </w:rPr>
              <w:t>韦戍文</w:t>
            </w:r>
          </w:p>
          <w:p w14:paraId="2D3D1E6B">
            <w:pPr>
              <w:rPr>
                <w:rFonts w:ascii="仿宋_GB2312" w:hAnsi="仿宋_GB2312" w:eastAsia="仿宋_GB2312" w:cs="仿宋_GB2312"/>
                <w:szCs w:val="21"/>
              </w:rPr>
            </w:pPr>
            <w:r>
              <w:rPr>
                <w:rFonts w:hint="eastAsia" w:ascii="仿宋_GB2312" w:hAnsi="仿宋_GB2312" w:eastAsia="仿宋_GB2312" w:cs="仿宋_GB2312"/>
                <w:szCs w:val="21"/>
              </w:rPr>
              <w:t>公共关系总监</w:t>
            </w:r>
          </w:p>
        </w:tc>
        <w:tc>
          <w:tcPr>
            <w:tcW w:w="1496" w:type="dxa"/>
            <w:shd w:val="clear" w:color="auto" w:fill="auto"/>
          </w:tcPr>
          <w:p w14:paraId="3245F477">
            <w:pPr>
              <w:rPr>
                <w:rFonts w:ascii="仿宋_GB2312" w:hAnsi="仿宋_GB2312" w:eastAsia="仿宋_GB2312" w:cs="仿宋_GB2312"/>
                <w:szCs w:val="21"/>
              </w:rPr>
            </w:pPr>
            <w:r>
              <w:rPr>
                <w:rFonts w:hint="eastAsia" w:ascii="仿宋_GB2312" w:hAnsi="仿宋_GB2312" w:eastAsia="仿宋_GB2312" w:cs="仿宋_GB2312"/>
                <w:szCs w:val="21"/>
              </w:rPr>
              <w:t>13910052829</w:t>
            </w:r>
          </w:p>
          <w:p w14:paraId="1056A2AC">
            <w:pPr>
              <w:rPr>
                <w:rFonts w:ascii="仿宋_GB2312" w:hAnsi="仿宋_GB2312" w:eastAsia="仿宋_GB2312" w:cs="仿宋_GB2312"/>
                <w:szCs w:val="21"/>
              </w:rPr>
            </w:pPr>
            <w:r>
              <w:rPr>
                <w:rFonts w:hint="eastAsia" w:ascii="仿宋_GB2312" w:hAnsi="仿宋_GB2312" w:eastAsia="仿宋_GB2312" w:cs="仿宋_GB2312"/>
                <w:szCs w:val="21"/>
              </w:rPr>
              <w:t>beloc_wei@htc.com</w:t>
            </w:r>
          </w:p>
        </w:tc>
      </w:tr>
      <w:tr w14:paraId="5408E853">
        <w:tc>
          <w:tcPr>
            <w:tcW w:w="689" w:type="dxa"/>
          </w:tcPr>
          <w:p w14:paraId="7599E2CE">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57" w:type="dxa"/>
            <w:shd w:val="clear" w:color="auto" w:fill="auto"/>
          </w:tcPr>
          <w:p w14:paraId="6CA2F9A4">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XR眼镜</w:t>
            </w:r>
          </w:p>
        </w:tc>
        <w:tc>
          <w:tcPr>
            <w:tcW w:w="1357" w:type="dxa"/>
            <w:shd w:val="clear" w:color="auto" w:fill="auto"/>
          </w:tcPr>
          <w:p w14:paraId="0495CC64">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中数元宇数字科技（上海）有限公司</w:t>
            </w:r>
          </w:p>
        </w:tc>
        <w:tc>
          <w:tcPr>
            <w:tcW w:w="1234" w:type="dxa"/>
            <w:shd w:val="clear" w:color="auto" w:fill="auto"/>
          </w:tcPr>
          <w:p w14:paraId="21AD1E7D">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18145B0D">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基于双目VST的MR智能眼镜</w:t>
            </w:r>
          </w:p>
        </w:tc>
        <w:tc>
          <w:tcPr>
            <w:tcW w:w="6142" w:type="dxa"/>
            <w:shd w:val="clear" w:color="auto" w:fill="auto"/>
          </w:tcPr>
          <w:p w14:paraId="1BC45D4B">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该产品</w:t>
            </w:r>
            <w:r>
              <w:rPr>
                <w:rFonts w:hint="eastAsia" w:ascii="仿宋_GB2312" w:hAnsi="仿宋_GB2312" w:eastAsia="仿宋_GB2312" w:cs="仿宋_GB2312"/>
                <w:szCs w:val="21"/>
              </w:rPr>
              <w:t>是一款将数字信息与真实场景相融合的混合现实眼镜，以增强用户对现实世界的感知认知。该产品可用于办公类、教育类、工业类、医学类、现场执法监管类等场景，党务政务、交通、工业、教育等领域，特点如下：</w:t>
            </w:r>
          </w:p>
          <w:p w14:paraId="50A1BDE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1.混合现实：融合数字内容与真实世界，为用户提供全新交互体验。增强用户对世界的感知认知。</w:t>
            </w:r>
          </w:p>
          <w:p w14:paraId="2D0867C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2.视觉计算：眼镜可智能识别和跟踪环境中的物体。</w:t>
            </w:r>
          </w:p>
          <w:p w14:paraId="1390669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3.精准触控：配备裸手交互技术，可直接用手指对眼镜内数字内容进行点击交互，无需使用手柄或控制器。</w:t>
            </w:r>
          </w:p>
          <w:p w14:paraId="49F9070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4.视觉同步：可使用眼镜拍摄观看3D视频和照片并以立体的形式保存，眼镜间可视觉同步，多个用户可实时共享拍摄内容。 </w:t>
            </w:r>
          </w:p>
          <w:p w14:paraId="574731E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5.多屏交互：允许同时打开多个应用，并根据个⼈喜好和使用习惯自由摆放/移动应用窗口位置，创造个性化⼯作环境。可轻松实现窗口大小/远近调整，提高工作效率和实现移动办公。</w:t>
            </w:r>
          </w:p>
          <w:p w14:paraId="17FF96E2">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6.云端应用：可支持多个云端应用。可在打开云端计算机桌面以远程访问计算机。</w:t>
            </w:r>
          </w:p>
          <w:p w14:paraId="34D9CF6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7.长期佩戴：“150g的头部负重、分体式”产品形态是所有VST技术路线智能眼镜中的最轻⼀款。</w:t>
            </w:r>
          </w:p>
        </w:tc>
        <w:tc>
          <w:tcPr>
            <w:tcW w:w="1231" w:type="dxa"/>
            <w:shd w:val="clear" w:color="auto" w:fill="auto"/>
          </w:tcPr>
          <w:p w14:paraId="73F6EB2A">
            <w:pPr>
              <w:rPr>
                <w:rFonts w:ascii="仿宋_GB2312" w:hAnsi="仿宋_GB2312" w:eastAsia="仿宋_GB2312" w:cs="仿宋_GB2312"/>
                <w:szCs w:val="21"/>
              </w:rPr>
            </w:pPr>
            <w:r>
              <w:rPr>
                <w:rFonts w:hint="eastAsia" w:ascii="仿宋_GB2312" w:hAnsi="仿宋_GB2312" w:eastAsia="仿宋_GB2312" w:cs="仿宋_GB2312"/>
                <w:szCs w:val="21"/>
              </w:rPr>
              <w:t>李佳祺</w:t>
            </w:r>
          </w:p>
          <w:p w14:paraId="0C9D6B69">
            <w:pPr>
              <w:rPr>
                <w:rFonts w:ascii="仿宋_GB2312" w:hAnsi="仿宋_GB2312" w:eastAsia="仿宋_GB2312" w:cs="仿宋_GB2312"/>
                <w:szCs w:val="21"/>
              </w:rPr>
            </w:pPr>
            <w:r>
              <w:rPr>
                <w:rFonts w:hint="eastAsia" w:ascii="仿宋_GB2312" w:hAnsi="仿宋_GB2312" w:eastAsia="仿宋_GB2312" w:cs="仿宋_GB2312"/>
                <w:szCs w:val="21"/>
              </w:rPr>
              <w:t>董助</w:t>
            </w:r>
          </w:p>
        </w:tc>
        <w:tc>
          <w:tcPr>
            <w:tcW w:w="1496" w:type="dxa"/>
            <w:shd w:val="clear" w:color="auto" w:fill="auto"/>
          </w:tcPr>
          <w:p w14:paraId="0A8FA529">
            <w:pPr>
              <w:rPr>
                <w:rFonts w:ascii="仿宋_GB2312" w:hAnsi="仿宋_GB2312" w:eastAsia="仿宋_GB2312" w:cs="仿宋_GB2312"/>
                <w:szCs w:val="21"/>
              </w:rPr>
            </w:pPr>
            <w:r>
              <w:rPr>
                <w:rFonts w:hint="eastAsia" w:ascii="仿宋_GB2312" w:hAnsi="仿宋_GB2312" w:eastAsia="仿宋_GB2312" w:cs="仿宋_GB2312"/>
                <w:szCs w:val="21"/>
              </w:rPr>
              <w:t>18768174095</w:t>
            </w:r>
          </w:p>
          <w:p w14:paraId="441EC9B9">
            <w:pPr>
              <w:rPr>
                <w:rFonts w:ascii="仿宋_GB2312" w:hAnsi="仿宋_GB2312" w:eastAsia="仿宋_GB2312" w:cs="仿宋_GB2312"/>
                <w:szCs w:val="21"/>
              </w:rPr>
            </w:pPr>
          </w:p>
        </w:tc>
      </w:tr>
      <w:tr w14:paraId="4C79F23B">
        <w:tc>
          <w:tcPr>
            <w:tcW w:w="689" w:type="dxa"/>
          </w:tcPr>
          <w:p w14:paraId="7A46BB9E">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357" w:type="dxa"/>
            <w:shd w:val="clear" w:color="auto" w:fill="auto"/>
          </w:tcPr>
          <w:p w14:paraId="15A685DE">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XR眼镜</w:t>
            </w:r>
          </w:p>
        </w:tc>
        <w:tc>
          <w:tcPr>
            <w:tcW w:w="1357" w:type="dxa"/>
            <w:shd w:val="clear" w:color="auto" w:fill="auto"/>
          </w:tcPr>
          <w:p w14:paraId="77857AF5">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上海诠视传感技术有限公司</w:t>
            </w:r>
          </w:p>
        </w:tc>
        <w:tc>
          <w:tcPr>
            <w:tcW w:w="1234" w:type="dxa"/>
            <w:shd w:val="clear" w:color="auto" w:fill="auto"/>
          </w:tcPr>
          <w:p w14:paraId="27EE4585">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4902C648">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企业级国产MR眼镜</w:t>
            </w:r>
            <w:r>
              <w:rPr>
                <w:rFonts w:ascii="仿宋_GB2312" w:hAnsi="仿宋_GB2312" w:eastAsia="仿宋_GB2312" w:cs="仿宋_GB2312"/>
                <w:color w:val="000000"/>
                <w:kern w:val="0"/>
                <w:szCs w:val="21"/>
                <w:lang w:bidi="ar"/>
              </w:rPr>
              <w:t>Seerlens II B50REE Pro</w:t>
            </w:r>
          </w:p>
        </w:tc>
        <w:tc>
          <w:tcPr>
            <w:tcW w:w="6142" w:type="dxa"/>
            <w:shd w:val="clear" w:color="auto" w:fill="auto"/>
          </w:tcPr>
          <w:p w14:paraId="663E057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一款对标微软Hololens2的国产化MR眼镜。在底层算法上采用自研高速高精度4目SLAM算法，支持语音、手势、眼控、6DOF手柄等多模态交互方式，具备目前国内先进的空间计算与感知交互能力，在定位精度、智能识别、多模态交互等多方面表现，提供企业高精度强交互的MR产品和服务。该产品可用于工业、医疗、教育及古建筑保护等领域，特点如下：</w:t>
            </w:r>
          </w:p>
          <w:p w14:paraId="6EEBDF5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1.高速高精度4目SLAM算法：支持语音、手势、眼控、6DOF手柄等多模态交互方式，其中该分体式设计MR终端搭载瑞芯微RK3588国产自研芯片的便携式终端Seerpad，采取协处理器方式增强算力, 使用自研AR OS操作系统，支持千兆以太网接口，能实现环境感知交互与复杂空间计算。可实现长达3小时的续航和实时超强算力。</w:t>
            </w:r>
          </w:p>
          <w:p w14:paraId="1C8586D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2.自研Seer OS系统：具备丰富SDK接口、多种系统交互功能，支持多种开发工具协同、多生态应用。同时包括RSTP推拉流、虚拟键盘、无线投屏、录屏、6Dof空间锚定、虚实融合等功能，并可实现多人协同、远程指导、全景浏览等应用。</w:t>
            </w:r>
          </w:p>
          <w:p w14:paraId="769985E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3.广泛应用场景:适配MR远程助手、流程指导、多人协作等场景，满足在工业、医疗、航天等复杂空间计算和重度交互领域的产品需要</w:t>
            </w:r>
            <w:r>
              <w:rPr>
                <w:rFonts w:hint="eastAsia" w:ascii="仿宋_GB2312" w:hAnsi="仿宋_GB2312" w:eastAsia="仿宋_GB2312" w:cs="仿宋_GB2312"/>
                <w:b/>
                <w:bCs/>
                <w:szCs w:val="21"/>
              </w:rPr>
              <w:t>。</w:t>
            </w:r>
          </w:p>
        </w:tc>
        <w:tc>
          <w:tcPr>
            <w:tcW w:w="1231" w:type="dxa"/>
            <w:shd w:val="clear" w:color="auto" w:fill="auto"/>
          </w:tcPr>
          <w:p w14:paraId="79C3D4BF">
            <w:pPr>
              <w:rPr>
                <w:rFonts w:ascii="仿宋_GB2312" w:hAnsi="仿宋_GB2312" w:eastAsia="仿宋_GB2312" w:cs="仿宋_GB2312"/>
                <w:szCs w:val="21"/>
              </w:rPr>
            </w:pPr>
            <w:r>
              <w:rPr>
                <w:rFonts w:hint="eastAsia" w:ascii="仿宋_GB2312" w:hAnsi="仿宋_GB2312" w:eastAsia="仿宋_GB2312" w:cs="仿宋_GB2312"/>
                <w:szCs w:val="21"/>
              </w:rPr>
              <w:t>张景浩</w:t>
            </w:r>
          </w:p>
          <w:p w14:paraId="36FEE9CD">
            <w:pPr>
              <w:rPr>
                <w:rFonts w:ascii="仿宋_GB2312" w:hAnsi="仿宋_GB2312" w:eastAsia="仿宋_GB2312" w:cs="仿宋_GB2312"/>
                <w:szCs w:val="21"/>
              </w:rPr>
            </w:pPr>
            <w:r>
              <w:rPr>
                <w:rFonts w:hint="eastAsia" w:ascii="仿宋_GB2312" w:hAnsi="仿宋_GB2312" w:eastAsia="仿宋_GB2312" w:cs="仿宋_GB2312"/>
                <w:szCs w:val="21"/>
              </w:rPr>
              <w:t>市场部经理</w:t>
            </w:r>
          </w:p>
          <w:p w14:paraId="5AEE06E9">
            <w:pPr>
              <w:rPr>
                <w:rFonts w:ascii="仿宋_GB2312" w:hAnsi="仿宋_GB2312" w:eastAsia="仿宋_GB2312" w:cs="仿宋_GB2312"/>
                <w:szCs w:val="21"/>
              </w:rPr>
            </w:pPr>
          </w:p>
        </w:tc>
        <w:tc>
          <w:tcPr>
            <w:tcW w:w="1496" w:type="dxa"/>
            <w:shd w:val="clear" w:color="auto" w:fill="auto"/>
          </w:tcPr>
          <w:p w14:paraId="37D7F127">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13524527003</w:t>
            </w:r>
          </w:p>
          <w:p w14:paraId="0A8FD850">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Bazin.zhang@xvisiotech.com</w:t>
            </w:r>
          </w:p>
        </w:tc>
      </w:tr>
      <w:tr w14:paraId="6D1570AF">
        <w:tc>
          <w:tcPr>
            <w:tcW w:w="689" w:type="dxa"/>
          </w:tcPr>
          <w:p w14:paraId="398DE164">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357" w:type="dxa"/>
            <w:shd w:val="clear" w:color="auto" w:fill="auto"/>
          </w:tcPr>
          <w:p w14:paraId="48A12C31">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平台</w:t>
            </w:r>
          </w:p>
        </w:tc>
        <w:tc>
          <w:tcPr>
            <w:tcW w:w="1357" w:type="dxa"/>
            <w:shd w:val="clear" w:color="auto" w:fill="auto"/>
          </w:tcPr>
          <w:p w14:paraId="328CEBF3">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视辰信息科技（上海）有限公司</w:t>
            </w:r>
          </w:p>
          <w:p w14:paraId="2CDF6C3E">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Mega元宇宙空间计算平台</w:t>
            </w:r>
          </w:p>
        </w:tc>
        <w:tc>
          <w:tcPr>
            <w:tcW w:w="1234" w:type="dxa"/>
            <w:shd w:val="clear" w:color="auto" w:fill="auto"/>
          </w:tcPr>
          <w:p w14:paraId="29620285">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6F45B744">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Mega元宇宙空间计算平台</w:t>
            </w:r>
          </w:p>
        </w:tc>
        <w:tc>
          <w:tcPr>
            <w:tcW w:w="6142" w:type="dxa"/>
            <w:shd w:val="clear" w:color="auto" w:fill="auto"/>
          </w:tcPr>
          <w:p w14:paraId="2CD0E4A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一个由数据采集重建云服务，高精度视觉定位服务和虚实交互应用可视化编辑工具三部分组成的平台。适用于文旅目前平台在全球有20万开发者，40%来自海外。连续5年是世界人工智能大会WAIC空间计算技术提供商，打造了一系列元宇宙应用场景标杆案例，包括北京故宫、上海豫园、黄果树瀑布、重庆洪崖洞5A景区，国家海洋博物馆、南京中国科举博物馆、天津庆王府等博物馆等元宇宙商场，以及成都天府机场AR导航、上海仁济医院院内导航等智慧便民系统。该产品可用于文旅、教育培训、医疗等领域，特点如下：</w:t>
            </w:r>
          </w:p>
          <w:p w14:paraId="53F6A67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1.端云协同定位能力：打通国内外各种AR、MR、VR终端；适用于自然环境，不依赖特征Marker或者外部基站，空间面积无上限，计算负载放在云端，可降低终端性能消耗。</w:t>
            </w:r>
          </w:p>
          <w:p w14:paraId="63403C4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2.超大空间计算能力且平台兼容性好：比国外厂商更契合国内用户需求，更低使用门槛，且具有更强的产品兼容性。</w:t>
            </w:r>
          </w:p>
          <w:p w14:paraId="05F54E9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3.城市级空间建模能力：支持2小时超10万平米单体区域采集；无需激光设备只需单个全景相机；支持超过数百万平方米区域拼接；输出高清模型。</w:t>
            </w:r>
          </w:p>
          <w:p w14:paraId="68EE7B7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4.厘米级定位精度和亚秒级定位时间；端云融合，保证长时间稳定精准主观体验。</w:t>
            </w:r>
          </w:p>
          <w:p w14:paraId="2CA2BB8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5.完善工具链：提供编辑工具、路网编辑能力、测试工具和开发API等。</w:t>
            </w:r>
          </w:p>
          <w:p w14:paraId="2B6AE80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6.优质空间数据系统：支持空间数据局部更新、具有稳定云服务、支持无缝扩容、拥有良好版本兼容设计和升级保障。</w:t>
            </w:r>
          </w:p>
          <w:p w14:paraId="524768F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7.多平台兼容开发生态：Android手机适配率高，支持多款主流AR/MR眼镜、支持微信小程序和支付宝小程序、支持Unity和UE等泛3D引擎、支持自定义设备扩展支持，多平台打通，开放的接口和生态。</w:t>
            </w:r>
          </w:p>
        </w:tc>
        <w:tc>
          <w:tcPr>
            <w:tcW w:w="1231" w:type="dxa"/>
            <w:shd w:val="clear" w:color="auto" w:fill="auto"/>
          </w:tcPr>
          <w:p w14:paraId="01B04BA3">
            <w:pPr>
              <w:rPr>
                <w:rFonts w:ascii="仿宋_GB2312" w:hAnsi="仿宋_GB2312" w:eastAsia="仿宋_GB2312" w:cs="仿宋_GB2312"/>
                <w:szCs w:val="21"/>
              </w:rPr>
            </w:pPr>
            <w:r>
              <w:rPr>
                <w:rFonts w:hint="eastAsia" w:ascii="仿宋_GB2312" w:hAnsi="仿宋_GB2312" w:eastAsia="仿宋_GB2312" w:cs="仿宋_GB2312"/>
                <w:szCs w:val="21"/>
              </w:rPr>
              <w:t>江淑红</w:t>
            </w:r>
          </w:p>
          <w:p w14:paraId="2434E7D6">
            <w:pPr>
              <w:rPr>
                <w:rFonts w:ascii="仿宋_GB2312" w:hAnsi="仿宋_GB2312" w:eastAsia="仿宋_GB2312" w:cs="仿宋_GB2312"/>
                <w:szCs w:val="21"/>
              </w:rPr>
            </w:pPr>
            <w:r>
              <w:rPr>
                <w:rFonts w:hint="eastAsia" w:ascii="仿宋_GB2312" w:hAnsi="仿宋_GB2312" w:eastAsia="仿宋_GB2312" w:cs="仿宋_GB2312"/>
                <w:szCs w:val="21"/>
              </w:rPr>
              <w:t xml:space="preserve">知识产权部、市场部副总经理 </w:t>
            </w:r>
          </w:p>
        </w:tc>
        <w:tc>
          <w:tcPr>
            <w:tcW w:w="1496" w:type="dxa"/>
            <w:shd w:val="clear" w:color="auto" w:fill="auto"/>
          </w:tcPr>
          <w:p w14:paraId="1327C098">
            <w:pPr>
              <w:rPr>
                <w:rFonts w:ascii="仿宋_GB2312" w:hAnsi="仿宋_GB2312" w:eastAsia="仿宋_GB2312" w:cs="仿宋_GB2312"/>
                <w:szCs w:val="21"/>
              </w:rPr>
            </w:pPr>
            <w:r>
              <w:rPr>
                <w:rFonts w:hint="eastAsia" w:ascii="仿宋_GB2312" w:hAnsi="仿宋_GB2312" w:eastAsia="仿宋_GB2312" w:cs="仿宋_GB2312"/>
                <w:szCs w:val="21"/>
              </w:rPr>
              <w:t>13636651679</w:t>
            </w:r>
          </w:p>
          <w:p w14:paraId="357B1107">
            <w:pPr>
              <w:rPr>
                <w:rFonts w:ascii="仿宋_GB2312" w:hAnsi="仿宋_GB2312" w:eastAsia="仿宋_GB2312" w:cs="仿宋_GB2312"/>
                <w:szCs w:val="21"/>
              </w:rPr>
            </w:pPr>
            <w:r>
              <w:rPr>
                <w:rFonts w:hint="eastAsia" w:ascii="仿宋_GB2312" w:hAnsi="仿宋_GB2312" w:eastAsia="仿宋_GB2312" w:cs="仿宋_GB2312"/>
                <w:szCs w:val="21"/>
              </w:rPr>
              <w:t>jiangshuhong@sightp.com</w:t>
            </w:r>
          </w:p>
        </w:tc>
      </w:tr>
      <w:tr w14:paraId="767F2061">
        <w:tc>
          <w:tcPr>
            <w:tcW w:w="689" w:type="dxa"/>
          </w:tcPr>
          <w:p w14:paraId="49629C68">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357" w:type="dxa"/>
            <w:shd w:val="clear" w:color="auto" w:fill="auto"/>
          </w:tcPr>
          <w:p w14:paraId="478063BD">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3D引擎</w:t>
            </w:r>
          </w:p>
        </w:tc>
        <w:tc>
          <w:tcPr>
            <w:tcW w:w="1357" w:type="dxa"/>
            <w:shd w:val="clear" w:color="auto" w:fill="auto"/>
          </w:tcPr>
          <w:p w14:paraId="03FE0D69">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上海迅图数码科技有限公司</w:t>
            </w:r>
          </w:p>
        </w:tc>
        <w:tc>
          <w:tcPr>
            <w:tcW w:w="1234" w:type="dxa"/>
            <w:shd w:val="clear" w:color="auto" w:fill="auto"/>
          </w:tcPr>
          <w:p w14:paraId="7B6D361D">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1EF4900A">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国产高性能轻量化三维引擎</w:t>
            </w:r>
          </w:p>
        </w:tc>
        <w:tc>
          <w:tcPr>
            <w:tcW w:w="6142" w:type="dxa"/>
            <w:shd w:val="clear" w:color="auto" w:fill="auto"/>
          </w:tcPr>
          <w:p w14:paraId="5385F30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迅图团队基于操作系统底层图形API接口（OpenGL和DirectX、Vulkan）自主开发的原生三维图形引擎，具有自主设计的安全互联网数据格式和高速实时数据通道及处理机制。该产品可用于智慧城市、智慧消防、智慧园区等建设项目，交通、工业、应急管理等领域，特点如下：</w:t>
            </w:r>
          </w:p>
          <w:p w14:paraId="3AE36D1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国产化:具有完全自主知识产权（未利用任何开源渲染引擎代码），自主设计安全互联网数据格式。基于Vulkan图形API开发，初步实现完整支持各型国产信创环境产品，包括国产操作系统（LINUX内核），国产CPU（包括X86、ARM），国产GPU等。</w:t>
            </w:r>
          </w:p>
          <w:p w14:paraId="10593A0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高实时:引入工业实时控制系统（SCADA）技术中实时通讯、实时控制能力，构建实时数据通道、实时数据图层技术模块。在低成本硬件环境下实现高性能渲染及交互，支持大规模地理信息环境及海量采集数据实时刷新，超清大屏（2-4*4K分辨率的点对点输出）。实现整个城市范围任意视角下在线设备动态行为的表达和仿真能力、低成本低带宽设备上的物理仿真和高频数据渲染。</w:t>
            </w:r>
          </w:p>
          <w:p w14:paraId="311E154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3.轻量化:专用系统设计，程序体量小，数据压缩比高，不依赖高硬件配置，对网络带宽要求低，可在低端硬件和网络环境下顺畅运行。</w:t>
            </w:r>
          </w:p>
          <w:p w14:paraId="0F757F5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4.易开发:支持B/S结构网页开发方式，可快速部署调用，且跨地域、跨平台、跨终端，易于迁移和跟已有系统融合。</w:t>
            </w:r>
          </w:p>
        </w:tc>
        <w:tc>
          <w:tcPr>
            <w:tcW w:w="1231" w:type="dxa"/>
            <w:shd w:val="clear" w:color="auto" w:fill="auto"/>
          </w:tcPr>
          <w:p w14:paraId="5B402936">
            <w:pPr>
              <w:rPr>
                <w:rFonts w:ascii="仿宋_GB2312" w:hAnsi="仿宋_GB2312" w:eastAsia="仿宋_GB2312" w:cs="仿宋_GB2312"/>
                <w:szCs w:val="21"/>
              </w:rPr>
            </w:pPr>
            <w:r>
              <w:rPr>
                <w:rFonts w:hint="eastAsia" w:ascii="仿宋_GB2312" w:hAnsi="仿宋_GB2312" w:eastAsia="仿宋_GB2312" w:cs="仿宋_GB2312"/>
                <w:szCs w:val="21"/>
              </w:rPr>
              <w:t>郁嘉宁</w:t>
            </w:r>
          </w:p>
          <w:p w14:paraId="46B0C8D7">
            <w:pPr>
              <w:rPr>
                <w:rFonts w:ascii="仿宋_GB2312" w:hAnsi="仿宋_GB2312" w:eastAsia="仿宋_GB2312" w:cs="仿宋_GB2312"/>
                <w:szCs w:val="21"/>
              </w:rPr>
            </w:pPr>
            <w:r>
              <w:rPr>
                <w:rFonts w:hint="eastAsia" w:ascii="仿宋_GB2312" w:hAnsi="仿宋_GB2312" w:eastAsia="仿宋_GB2312" w:cs="仿宋_GB2312"/>
                <w:szCs w:val="21"/>
              </w:rPr>
              <w:t xml:space="preserve">副总经理 </w:t>
            </w:r>
          </w:p>
        </w:tc>
        <w:tc>
          <w:tcPr>
            <w:tcW w:w="1496" w:type="dxa"/>
            <w:shd w:val="clear" w:color="auto" w:fill="auto"/>
          </w:tcPr>
          <w:p w14:paraId="7D43F73C">
            <w:pPr>
              <w:rPr>
                <w:rFonts w:ascii="仿宋_GB2312" w:hAnsi="仿宋_GB2312" w:eastAsia="仿宋_GB2312" w:cs="仿宋_GB2312"/>
                <w:szCs w:val="21"/>
              </w:rPr>
            </w:pPr>
            <w:r>
              <w:rPr>
                <w:rFonts w:hint="eastAsia" w:ascii="仿宋_GB2312" w:hAnsi="仿宋_GB2312" w:eastAsia="仿宋_GB2312" w:cs="仿宋_GB2312"/>
                <w:szCs w:val="21"/>
              </w:rPr>
              <w:t>18121218900</w:t>
            </w:r>
          </w:p>
          <w:p w14:paraId="3F0BEECB">
            <w:pPr>
              <w:rPr>
                <w:rFonts w:ascii="仿宋_GB2312" w:hAnsi="仿宋_GB2312" w:eastAsia="仿宋_GB2312" w:cs="仿宋_GB2312"/>
                <w:szCs w:val="21"/>
              </w:rPr>
            </w:pPr>
            <w:r>
              <w:rPr>
                <w:rFonts w:hint="eastAsia" w:ascii="仿宋_GB2312" w:hAnsi="仿宋_GB2312" w:eastAsia="仿宋_GB2312" w:cs="仿宋_GB2312"/>
                <w:szCs w:val="21"/>
              </w:rPr>
              <w:t>jnyu@qmap.com.cn</w:t>
            </w:r>
          </w:p>
        </w:tc>
      </w:tr>
      <w:tr w14:paraId="36C6F6AB">
        <w:tc>
          <w:tcPr>
            <w:tcW w:w="689" w:type="dxa"/>
          </w:tcPr>
          <w:p w14:paraId="49328F23">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357" w:type="dxa"/>
            <w:shd w:val="clear" w:color="auto" w:fill="auto"/>
          </w:tcPr>
          <w:p w14:paraId="67F6B15C">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3D引擎</w:t>
            </w:r>
          </w:p>
        </w:tc>
        <w:tc>
          <w:tcPr>
            <w:tcW w:w="1357" w:type="dxa"/>
            <w:shd w:val="clear" w:color="auto" w:fill="auto"/>
          </w:tcPr>
          <w:p w14:paraId="03799DDD">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湖南蓝亚数字科技有限公司</w:t>
            </w:r>
          </w:p>
        </w:tc>
        <w:tc>
          <w:tcPr>
            <w:tcW w:w="1234" w:type="dxa"/>
            <w:shd w:val="clear" w:color="auto" w:fill="auto"/>
          </w:tcPr>
          <w:p w14:paraId="0F104DFD">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6AB56483">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LayaVerse轻量化元宇宙引擎</w:t>
            </w:r>
          </w:p>
        </w:tc>
        <w:tc>
          <w:tcPr>
            <w:tcW w:w="6142" w:type="dxa"/>
            <w:shd w:val="clear" w:color="auto" w:fill="auto"/>
          </w:tcPr>
          <w:p w14:paraId="613443F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是高性能轻量化、独立知识产权国产化元宇宙3D引擎,面向Web、移动设备以及桌面应用程序，支持HTML5和WebGL，可确保在大规模场景下也能提供流畅三维实时渲染效果。已应用于资生堂NARS玩妆岛元宇宙、阿里中国动漫节元宇宙、辛选集团辛巴粉丝节元宇宙等场景，可用于党务政务、工业、教育、广播电视、文化旅游等领域，特点如下：</w:t>
            </w:r>
          </w:p>
          <w:p w14:paraId="38B3FFC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1.数字孪生可视化：以3D渲染能力创建数字孪生可视化表示，包括建筑物、设备、流程等高保真3D模型。复刻还原相关数字孪生应用场景，实现3D场景、数据可视化、沉浸式交互。</w:t>
            </w:r>
          </w:p>
          <w:p w14:paraId="675FE3A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2.数据绑定和交互：实现数据双向绑定以确保数字孪生的模型及时反映其相对应物理实体的状态，同时，支持从可视化界面进行交互，实时改变模型状态。</w:t>
            </w:r>
          </w:p>
          <w:p w14:paraId="59AD643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3.节点编辑：零代码创作工具，实现无代码或低代码的节点编辑工具，</w:t>
            </w:r>
          </w:p>
          <w:p w14:paraId="2D3A11F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本产品可支持场景模拟与分析，多平台集成，可针对大场景内容输出进行轻量载体优化。</w:t>
            </w:r>
          </w:p>
        </w:tc>
        <w:tc>
          <w:tcPr>
            <w:tcW w:w="1231" w:type="dxa"/>
            <w:shd w:val="clear" w:color="auto" w:fill="auto"/>
          </w:tcPr>
          <w:p w14:paraId="3E9C78E6">
            <w:pPr>
              <w:rPr>
                <w:rFonts w:ascii="仿宋_GB2312" w:hAnsi="仿宋_GB2312" w:eastAsia="仿宋_GB2312" w:cs="仿宋_GB2312"/>
                <w:szCs w:val="21"/>
              </w:rPr>
            </w:pPr>
            <w:r>
              <w:rPr>
                <w:rFonts w:hint="eastAsia" w:ascii="仿宋_GB2312" w:hAnsi="仿宋_GB2312" w:eastAsia="仿宋_GB2312" w:cs="仿宋_GB2312"/>
                <w:szCs w:val="21"/>
              </w:rPr>
              <w:t>杜雅</w:t>
            </w:r>
          </w:p>
          <w:p w14:paraId="144E5E15">
            <w:pPr>
              <w:rPr>
                <w:rFonts w:ascii="仿宋_GB2312" w:hAnsi="仿宋_GB2312" w:eastAsia="仿宋_GB2312" w:cs="仿宋_GB2312"/>
                <w:szCs w:val="21"/>
              </w:rPr>
            </w:pPr>
            <w:r>
              <w:rPr>
                <w:rFonts w:hint="eastAsia" w:ascii="仿宋_GB2312" w:hAnsi="仿宋_GB2312" w:eastAsia="仿宋_GB2312" w:cs="仿宋_GB2312"/>
                <w:szCs w:val="21"/>
              </w:rPr>
              <w:t>全国生态中心副总经理</w:t>
            </w:r>
          </w:p>
          <w:p w14:paraId="2185D4E4">
            <w:pPr>
              <w:rPr>
                <w:rFonts w:ascii="仿宋_GB2312" w:hAnsi="仿宋_GB2312" w:eastAsia="仿宋_GB2312" w:cs="仿宋_GB2312"/>
                <w:szCs w:val="21"/>
              </w:rPr>
            </w:pPr>
          </w:p>
        </w:tc>
        <w:tc>
          <w:tcPr>
            <w:tcW w:w="1496" w:type="dxa"/>
            <w:shd w:val="clear" w:color="auto" w:fill="auto"/>
          </w:tcPr>
          <w:p w14:paraId="7A3178DE">
            <w:pPr>
              <w:rPr>
                <w:rFonts w:ascii="仿宋_GB2312" w:hAnsi="仿宋_GB2312" w:eastAsia="仿宋_GB2312" w:cs="仿宋_GB2312"/>
                <w:szCs w:val="21"/>
              </w:rPr>
            </w:pPr>
            <w:r>
              <w:rPr>
                <w:rFonts w:hint="eastAsia" w:ascii="仿宋_GB2312" w:hAnsi="仿宋_GB2312" w:eastAsia="仿宋_GB2312" w:cs="仿宋_GB2312"/>
                <w:szCs w:val="21"/>
              </w:rPr>
              <w:t>18610632330</w:t>
            </w:r>
          </w:p>
          <w:p w14:paraId="76F811DD">
            <w:pPr>
              <w:rPr>
                <w:rFonts w:ascii="仿宋_GB2312" w:hAnsi="仿宋_GB2312" w:eastAsia="仿宋_GB2312" w:cs="仿宋_GB2312"/>
                <w:szCs w:val="21"/>
              </w:rPr>
            </w:pPr>
            <w:r>
              <w:rPr>
                <w:rFonts w:hint="eastAsia" w:ascii="仿宋_GB2312" w:hAnsi="仿宋_GB2312" w:eastAsia="仿宋_GB2312" w:cs="仿宋_GB2312"/>
                <w:szCs w:val="21"/>
              </w:rPr>
              <w:t>duya@layabox.com</w:t>
            </w:r>
          </w:p>
        </w:tc>
      </w:tr>
      <w:tr w14:paraId="5521DFAE">
        <w:trPr>
          <w:trHeight w:val="90" w:hRule="atLeast"/>
        </w:trPr>
        <w:tc>
          <w:tcPr>
            <w:tcW w:w="689" w:type="dxa"/>
          </w:tcPr>
          <w:p w14:paraId="2A5B4E2D">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357" w:type="dxa"/>
            <w:shd w:val="clear" w:color="auto" w:fill="auto"/>
          </w:tcPr>
          <w:p w14:paraId="631D9BF1">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数字人</w:t>
            </w:r>
          </w:p>
        </w:tc>
        <w:tc>
          <w:tcPr>
            <w:tcW w:w="1357" w:type="dxa"/>
            <w:shd w:val="clear" w:color="auto" w:fill="auto"/>
          </w:tcPr>
          <w:p w14:paraId="256F0487">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魔珐（上海）信息科技有限公司</w:t>
            </w:r>
          </w:p>
        </w:tc>
        <w:tc>
          <w:tcPr>
            <w:tcW w:w="1234" w:type="dxa"/>
            <w:shd w:val="clear" w:color="auto" w:fill="auto"/>
          </w:tcPr>
          <w:p w14:paraId="6280502B">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7D3AB518">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3D数字人AIGC全栈技术平台</w:t>
            </w:r>
          </w:p>
        </w:tc>
        <w:tc>
          <w:tcPr>
            <w:tcW w:w="6142" w:type="dxa"/>
            <w:shd w:val="clear" w:color="auto" w:fill="auto"/>
          </w:tcPr>
          <w:p w14:paraId="0D20C53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由TTS（文本转语音）、STA（语音合成动画）、动作、NLP、语音大模型、数字人运动算法、渲染服务等基础底层服务构建的AIGC视频创作工具平台。该产品已用于政务服务、文旅、广电、教育培训、品牌营销等行业。已在央视网、苏州广电、广州广播电视台。该产品还可用于党务政务、工业、教育、卫生健康、应急管理、广播电视、文化旅游等领域，特点如下：</w:t>
            </w:r>
          </w:p>
          <w:p w14:paraId="2BE2441E">
            <w:pPr>
              <w:numPr>
                <w:ilvl w:val="0"/>
                <w:numId w:val="1"/>
              </w:num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先进AIGC智能绑定技术：融入智能绑定算法，十分钟一键完成绑定。</w:t>
            </w:r>
          </w:p>
          <w:p w14:paraId="66BB00D4">
            <w:pPr>
              <w:numPr>
                <w:ilvl w:val="0"/>
                <w:numId w:val="1"/>
              </w:num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低成本高效率制作：可AIGC生成动画、声音、镜头、文本等视频元素，简化视频制作流程。能让企业以低成本高效率制作高质量视频内容，使复杂技术细节得以生动呈现，更好展现品牌实力。可实现视频反复AIGC修改，让企业视频生产更便利灵活以适应新的市场环境和客户需求。</w:t>
            </w:r>
          </w:p>
          <w:p w14:paraId="5FAE874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3.内置里自定义功能：企业可根据自身品牌形象选择3D人物服装、logo、发型、配饰和妆容，以便于对外输出。</w:t>
            </w:r>
          </w:p>
        </w:tc>
        <w:tc>
          <w:tcPr>
            <w:tcW w:w="1231" w:type="dxa"/>
            <w:shd w:val="clear" w:color="auto" w:fill="auto"/>
          </w:tcPr>
          <w:p w14:paraId="2509CB74">
            <w:pPr>
              <w:rPr>
                <w:rFonts w:ascii="仿宋_GB2312" w:hAnsi="仿宋_GB2312" w:eastAsia="仿宋_GB2312" w:cs="仿宋_GB2312"/>
                <w:szCs w:val="21"/>
              </w:rPr>
            </w:pPr>
            <w:r>
              <w:rPr>
                <w:rFonts w:hint="eastAsia" w:ascii="仿宋_GB2312" w:hAnsi="仿宋_GB2312" w:eastAsia="仿宋_GB2312" w:cs="仿宋_GB2312"/>
                <w:szCs w:val="21"/>
              </w:rPr>
              <w:t>陶敏悦</w:t>
            </w:r>
          </w:p>
          <w:p w14:paraId="58ED5359">
            <w:pPr>
              <w:rPr>
                <w:rFonts w:ascii="仿宋_GB2312" w:hAnsi="仿宋_GB2312" w:eastAsia="仿宋_GB2312" w:cs="仿宋_GB2312"/>
                <w:szCs w:val="21"/>
              </w:rPr>
            </w:pPr>
            <w:r>
              <w:rPr>
                <w:rFonts w:hint="eastAsia" w:ascii="仿宋_GB2312" w:hAnsi="仿宋_GB2312" w:eastAsia="仿宋_GB2312" w:cs="仿宋_GB2312"/>
                <w:szCs w:val="21"/>
              </w:rPr>
              <w:t>政府事务总监</w:t>
            </w:r>
          </w:p>
        </w:tc>
        <w:tc>
          <w:tcPr>
            <w:tcW w:w="1496" w:type="dxa"/>
            <w:shd w:val="clear" w:color="auto" w:fill="auto"/>
          </w:tcPr>
          <w:p w14:paraId="5DACEA3C">
            <w:pPr>
              <w:rPr>
                <w:rFonts w:ascii="仿宋_GB2312" w:hAnsi="仿宋_GB2312" w:eastAsia="仿宋_GB2312" w:cs="仿宋_GB2312"/>
                <w:szCs w:val="21"/>
              </w:rPr>
            </w:pPr>
            <w:r>
              <w:rPr>
                <w:rFonts w:hint="eastAsia" w:ascii="仿宋_GB2312" w:hAnsi="仿宋_GB2312" w:eastAsia="仿宋_GB2312" w:cs="仿宋_GB2312"/>
                <w:szCs w:val="21"/>
              </w:rPr>
              <w:t>13917174756</w:t>
            </w:r>
          </w:p>
          <w:p w14:paraId="34F22016">
            <w:pPr>
              <w:rPr>
                <w:rFonts w:ascii="仿宋_GB2312" w:hAnsi="仿宋_GB2312" w:eastAsia="仿宋_GB2312" w:cs="仿宋_GB2312"/>
                <w:szCs w:val="21"/>
              </w:rPr>
            </w:pPr>
            <w:r>
              <w:rPr>
                <w:rFonts w:hint="eastAsia" w:ascii="仿宋_GB2312" w:hAnsi="仿宋_GB2312" w:eastAsia="仿宋_GB2312" w:cs="仿宋_GB2312"/>
                <w:szCs w:val="21"/>
              </w:rPr>
              <w:t>taominyue@xmov.ai</w:t>
            </w:r>
          </w:p>
        </w:tc>
      </w:tr>
      <w:tr w14:paraId="24E11B08">
        <w:tc>
          <w:tcPr>
            <w:tcW w:w="689" w:type="dxa"/>
          </w:tcPr>
          <w:p w14:paraId="46C3F626">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357" w:type="dxa"/>
          </w:tcPr>
          <w:p w14:paraId="76896716">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内容</w:t>
            </w:r>
          </w:p>
        </w:tc>
        <w:tc>
          <w:tcPr>
            <w:tcW w:w="1357" w:type="dxa"/>
          </w:tcPr>
          <w:p w14:paraId="6C39B112">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大象元数字科技股份有限公司</w:t>
            </w:r>
          </w:p>
        </w:tc>
        <w:tc>
          <w:tcPr>
            <w:tcW w:w="1234" w:type="dxa"/>
            <w:shd w:val="clear" w:color="auto" w:fill="auto"/>
          </w:tcPr>
          <w:p w14:paraId="503B785E">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国资</w:t>
            </w:r>
          </w:p>
        </w:tc>
        <w:tc>
          <w:tcPr>
            <w:tcW w:w="1234" w:type="dxa"/>
            <w:shd w:val="clear" w:color="auto" w:fill="auto"/>
          </w:tcPr>
          <w:p w14:paraId="7995B294">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AI创作和应用平台</w:t>
            </w:r>
          </w:p>
        </w:tc>
        <w:tc>
          <w:tcPr>
            <w:tcW w:w="6142" w:type="dxa"/>
          </w:tcPr>
          <w:p w14:paraId="7582348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该产品由河南广播电视台构建，在2024年全国广播电视媒体融合典型案例评选中获新媒体平台建设典型案例，同时打造了《隐秘的秦陵》和《唐宫夜宴》两部大空间作品。该产品可用于文旅、教育、广播电视等领域，特点如下：</w:t>
            </w:r>
          </w:p>
          <w:p w14:paraId="61A79A0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1.丰富数字资产：超过2500个8K PBR材质多级渐进式网格模型及材质数字资产，可高数据量支持人工智能领域生成式三维模型及视频制作。采用Eeasten标准化模型（《虚拟现实（VR）数字媒体资产数据描述标准》）下载后直接使用，无需额外贴图或调整工作。</w:t>
            </w:r>
          </w:p>
          <w:p w14:paraId="2DF4852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2.高精度渲染及流式传输：支持服务器端实时高精度渲染和客户端流式传输技术，实时查看资产、超高画质模型；可全云端渲染，用户端仅接收音视频流，支持跨平台跨设备展示。</w:t>
            </w:r>
          </w:p>
          <w:p w14:paraId="27B4366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3.自有可控二进制格式：可进行更新和迭代，同时确保所有上传和下载的资产符合特定质量和标准。</w:t>
            </w:r>
          </w:p>
          <w:p w14:paraId="0332913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4.对主流DCC工具的自适应格式转换能力：使用任何3D软件都能将平台的资产导入到自己的工作流程，无兼容性问题。</w:t>
            </w:r>
          </w:p>
        </w:tc>
        <w:tc>
          <w:tcPr>
            <w:tcW w:w="1231" w:type="dxa"/>
          </w:tcPr>
          <w:p w14:paraId="432E37B5">
            <w:pPr>
              <w:rPr>
                <w:rFonts w:ascii="仿宋_GB2312" w:hAnsi="仿宋_GB2312" w:eastAsia="仿宋_GB2312" w:cs="仿宋_GB2312"/>
                <w:szCs w:val="21"/>
              </w:rPr>
            </w:pPr>
            <w:r>
              <w:rPr>
                <w:rFonts w:hint="eastAsia" w:ascii="仿宋_GB2312" w:hAnsi="仿宋_GB2312" w:eastAsia="仿宋_GB2312" w:cs="仿宋_GB2312"/>
                <w:szCs w:val="21"/>
              </w:rPr>
              <w:t>苏翼飞</w:t>
            </w:r>
          </w:p>
          <w:p w14:paraId="0DC1AE45">
            <w:pPr>
              <w:rPr>
                <w:rFonts w:ascii="仿宋_GB2312" w:hAnsi="仿宋_GB2312" w:eastAsia="仿宋_GB2312" w:cs="仿宋_GB2312"/>
                <w:szCs w:val="21"/>
              </w:rPr>
            </w:pPr>
            <w:r>
              <w:rPr>
                <w:rFonts w:hint="eastAsia" w:ascii="仿宋_GB2312" w:hAnsi="仿宋_GB2312" w:eastAsia="仿宋_GB2312" w:cs="仿宋_GB2312"/>
                <w:szCs w:val="21"/>
              </w:rPr>
              <w:t>董事长助理</w:t>
            </w:r>
          </w:p>
        </w:tc>
        <w:tc>
          <w:tcPr>
            <w:tcW w:w="1496" w:type="dxa"/>
          </w:tcPr>
          <w:p w14:paraId="22D8810B">
            <w:pPr>
              <w:rPr>
                <w:rFonts w:ascii="仿宋_GB2312" w:hAnsi="仿宋_GB2312" w:eastAsia="仿宋_GB2312" w:cs="仿宋_GB2312"/>
                <w:szCs w:val="21"/>
              </w:rPr>
            </w:pPr>
            <w:r>
              <w:rPr>
                <w:rFonts w:hint="eastAsia" w:ascii="仿宋_GB2312" w:hAnsi="仿宋_GB2312" w:eastAsia="仿宋_GB2312" w:cs="仿宋_GB2312"/>
                <w:szCs w:val="21"/>
              </w:rPr>
              <w:t>17613148777</w:t>
            </w:r>
          </w:p>
          <w:p w14:paraId="17262983">
            <w:pPr>
              <w:rPr>
                <w:rFonts w:ascii="仿宋_GB2312" w:hAnsi="仿宋_GB2312" w:eastAsia="仿宋_GB2312" w:cs="仿宋_GB2312"/>
                <w:szCs w:val="21"/>
              </w:rPr>
            </w:pPr>
            <w:r>
              <w:rPr>
                <w:rFonts w:hint="eastAsia" w:ascii="仿宋_GB2312" w:hAnsi="仿宋_GB2312" w:eastAsia="仿宋_GB2312" w:cs="仿宋_GB2312"/>
                <w:szCs w:val="21"/>
              </w:rPr>
              <w:t>Suyifei@eeasten.com</w:t>
            </w:r>
          </w:p>
        </w:tc>
      </w:tr>
      <w:tr w14:paraId="1EB8704E">
        <w:tc>
          <w:tcPr>
            <w:tcW w:w="689" w:type="dxa"/>
          </w:tcPr>
          <w:p w14:paraId="14E8D9DB">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357" w:type="dxa"/>
          </w:tcPr>
          <w:p w14:paraId="367208AC">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数字人</w:t>
            </w:r>
          </w:p>
        </w:tc>
        <w:tc>
          <w:tcPr>
            <w:tcW w:w="1357" w:type="dxa"/>
          </w:tcPr>
          <w:p w14:paraId="67889388">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上海墨百意信息科技有限公司</w:t>
            </w:r>
          </w:p>
        </w:tc>
        <w:tc>
          <w:tcPr>
            <w:tcW w:w="1234" w:type="dxa"/>
            <w:shd w:val="clear" w:color="auto" w:fill="auto"/>
          </w:tcPr>
          <w:p w14:paraId="3D986B72">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外资</w:t>
            </w:r>
          </w:p>
        </w:tc>
        <w:tc>
          <w:tcPr>
            <w:tcW w:w="1234" w:type="dxa"/>
            <w:shd w:val="clear" w:color="auto" w:fill="auto"/>
          </w:tcPr>
          <w:p w14:paraId="6C185B21">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出门问问奇妙元-AI数字人生成平台</w:t>
            </w:r>
          </w:p>
        </w:tc>
        <w:tc>
          <w:tcPr>
            <w:tcW w:w="6142" w:type="dxa"/>
          </w:tcPr>
          <w:p w14:paraId="41813289">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该产品</w:t>
            </w:r>
            <w:r>
              <w:rPr>
                <w:rFonts w:hint="eastAsia" w:ascii="仿宋_GB2312" w:hAnsi="仿宋_GB2312" w:eastAsia="仿宋_GB2312" w:cs="仿宋_GB2312"/>
                <w:szCs w:val="21"/>
              </w:rPr>
              <w:t>是一款旨在实现从文本到视频的自动化生产过程的AI数字人生成平台。适用于在线课堂、培训机构、新闻播报、文旅宣传、直播等多种形式，可提升与用户交互体验和降低人工成本。该产品可用于党务政务、教育、文化旅游等领域，特点如下：</w:t>
            </w:r>
          </w:p>
          <w:p w14:paraId="176A99B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1.功能综合性强：集成一系列先进技术，从视频翻译、直播到PPT生成视频，支持多样化场景应用，可提升内容生成和传播效率。平台独有"图片数字人生成视频"技术，可实现从静态图像到动态视频的自动化转换。</w:t>
            </w:r>
          </w:p>
          <w:p w14:paraId="5D0FCF22">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2.架构创新：引入“轨道与叠层”技术，可进行层级叠加编辑，提高视频合成灵活性，提升复杂视频场景制作效率。此外支持批量合成，结合智能写作与辅助生成助手，可提供一站式数字人视频制作解决方案。</w:t>
            </w:r>
          </w:p>
          <w:p w14:paraId="4C46C8C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3.双后台管理系统：一是面向奇妙元产品和ToB业务管理的后台，二是专为企业版用户设计的后台。两套系统可提供高效运营与管理，支持进行多维度业务分析和产品优化。</w:t>
            </w:r>
          </w:p>
        </w:tc>
        <w:tc>
          <w:tcPr>
            <w:tcW w:w="1231" w:type="dxa"/>
          </w:tcPr>
          <w:p w14:paraId="5A9FFDC4">
            <w:pPr>
              <w:rPr>
                <w:rFonts w:ascii="仿宋_GB2312" w:hAnsi="仿宋_GB2312" w:eastAsia="仿宋_GB2312" w:cs="仿宋_GB2312"/>
                <w:szCs w:val="21"/>
              </w:rPr>
            </w:pPr>
            <w:r>
              <w:rPr>
                <w:rFonts w:hint="eastAsia" w:ascii="仿宋_GB2312" w:hAnsi="仿宋_GB2312" w:eastAsia="仿宋_GB2312" w:cs="仿宋_GB2312"/>
                <w:szCs w:val="21"/>
              </w:rPr>
              <w:t>陆敏敏</w:t>
            </w:r>
          </w:p>
          <w:p w14:paraId="3C9704DA">
            <w:pPr>
              <w:rPr>
                <w:rFonts w:ascii="仿宋_GB2312" w:hAnsi="仿宋_GB2312" w:eastAsia="仿宋_GB2312" w:cs="仿宋_GB2312"/>
                <w:szCs w:val="21"/>
              </w:rPr>
            </w:pPr>
            <w:r>
              <w:rPr>
                <w:rFonts w:hint="eastAsia" w:ascii="仿宋_GB2312" w:hAnsi="仿宋_GB2312" w:eastAsia="仿宋_GB2312" w:cs="仿宋_GB2312"/>
                <w:szCs w:val="21"/>
              </w:rPr>
              <w:t>公共事务部/政府事务经理</w:t>
            </w:r>
          </w:p>
        </w:tc>
        <w:tc>
          <w:tcPr>
            <w:tcW w:w="1496" w:type="dxa"/>
          </w:tcPr>
          <w:p w14:paraId="60B93482">
            <w:pPr>
              <w:rPr>
                <w:rFonts w:ascii="仿宋_GB2312" w:hAnsi="仿宋_GB2312" w:eastAsia="仿宋_GB2312" w:cs="仿宋_GB2312"/>
                <w:szCs w:val="21"/>
              </w:rPr>
            </w:pPr>
            <w:r>
              <w:rPr>
                <w:rFonts w:hint="eastAsia" w:ascii="仿宋_GB2312" w:hAnsi="仿宋_GB2312" w:eastAsia="仿宋_GB2312" w:cs="仿宋_GB2312"/>
                <w:szCs w:val="21"/>
              </w:rPr>
              <w:t>15021727508</w:t>
            </w:r>
          </w:p>
          <w:p w14:paraId="3957D877">
            <w:pPr>
              <w:rPr>
                <w:rFonts w:ascii="仿宋_GB2312" w:hAnsi="仿宋_GB2312" w:eastAsia="仿宋_GB2312" w:cs="仿宋_GB2312"/>
                <w:szCs w:val="21"/>
              </w:rPr>
            </w:pPr>
            <w:r>
              <w:rPr>
                <w:rFonts w:hint="eastAsia" w:ascii="仿宋_GB2312" w:hAnsi="仿宋_GB2312" w:eastAsia="仿宋_GB2312" w:cs="仿宋_GB2312"/>
                <w:szCs w:val="21"/>
              </w:rPr>
              <w:t>minmin.lu@mobvoi.com</w:t>
            </w:r>
          </w:p>
        </w:tc>
      </w:tr>
      <w:tr w14:paraId="36BE6C42">
        <w:trPr>
          <w:trHeight w:val="90" w:hRule="atLeast"/>
        </w:trPr>
        <w:tc>
          <w:tcPr>
            <w:tcW w:w="689" w:type="dxa"/>
          </w:tcPr>
          <w:p w14:paraId="4E339601">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357" w:type="dxa"/>
          </w:tcPr>
          <w:p w14:paraId="3E7D40A6">
            <w:pP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裸眼3D</w:t>
            </w:r>
          </w:p>
        </w:tc>
        <w:tc>
          <w:tcPr>
            <w:tcW w:w="1357" w:type="dxa"/>
          </w:tcPr>
          <w:p w14:paraId="3D0D28D0">
            <w:pP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上海易维视科技有限公司</w:t>
            </w:r>
          </w:p>
        </w:tc>
        <w:tc>
          <w:tcPr>
            <w:tcW w:w="1234" w:type="dxa"/>
            <w:shd w:val="clear" w:color="auto" w:fill="auto"/>
          </w:tcPr>
          <w:p w14:paraId="11647FF2">
            <w:pPr>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民营</w:t>
            </w:r>
          </w:p>
        </w:tc>
        <w:tc>
          <w:tcPr>
            <w:tcW w:w="1234" w:type="dxa"/>
            <w:shd w:val="clear" w:color="auto" w:fill="auto"/>
          </w:tcPr>
          <w:p w14:paraId="1EF89DA8">
            <w:pPr>
              <w:jc w:val="lef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裸眼3D/XR智能终端创新产品</w:t>
            </w:r>
          </w:p>
        </w:tc>
        <w:tc>
          <w:tcPr>
            <w:tcW w:w="6142" w:type="dxa"/>
          </w:tcPr>
          <w:p w14:paraId="62D25F53">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该产品</w:t>
            </w:r>
            <w:r>
              <w:rPr>
                <w:rFonts w:hint="eastAsia" w:ascii="仿宋_GB2312" w:hAnsi="仿宋_GB2312" w:eastAsia="仿宋_GB2312" w:cs="仿宋_GB2312"/>
                <w:szCs w:val="21"/>
              </w:rPr>
              <w:t>是业界首款集成光场裸眼3D技术、空间3D人眼追踪技术和6DoF的空间交互技术的裸眼3D/XR虚实交互系统，配备3D/XR数字内容开发环境（SDK），构建了从硬件到内容的完整元宇宙教育解决方案。适用于元宇宙学校、数字教育及虚拟仿真实训室等前沿教育场景，并已在清华、复旦、交大等国内顶尖医学院校实现规模化应用。特点如下：</w:t>
            </w:r>
          </w:p>
          <w:p w14:paraId="359AF88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核心算法:配备裸眼3D视频处理算法，可实时计算和虚拟视点渲染，延时小于1ms；配备深度学习空间3D人脸检测/人眼跟踪算法和全3D视点优化算法，最高速度可达60Hz，2米内深度跟踪精度±2%；超大规模光场3D视频处理技术。</w:t>
            </w:r>
          </w:p>
          <w:p w14:paraId="53EC7C72">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2.FPGA/IP芯片级解决方案:基于可编程逻辑芯片，支持左右3D、4K行交织3D等多种通用3D视频格式；支持AI景深补偿，可调节景深；支持2D视频、图片、界面；</w:t>
            </w:r>
          </w:p>
          <w:p w14:paraId="1BA0441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3.6DoF空间交互技术:六自由度光学跟踪系统，毫米级定位精度，实现桌面级高精度AR交互操作；使用范围广，宽度1000-2500mm，高度630-1800mm，深度250-1350mm；空间精度可达±2mm。</w:t>
            </w:r>
          </w:p>
          <w:p w14:paraId="61BFE7C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同时具有自研光学设计与高精度贴合技术，配备自研3D/XR数字内容开发环境（SDK），拥有自主知识产权视频IP。</w:t>
            </w:r>
          </w:p>
        </w:tc>
        <w:tc>
          <w:tcPr>
            <w:tcW w:w="1231" w:type="dxa"/>
          </w:tcPr>
          <w:p w14:paraId="2C6A9027">
            <w:pPr>
              <w:rPr>
                <w:rFonts w:ascii="仿宋_GB2312" w:hAnsi="仿宋_GB2312" w:eastAsia="仿宋_GB2312" w:cs="仿宋_GB2312"/>
                <w:szCs w:val="21"/>
              </w:rPr>
            </w:pPr>
            <w:r>
              <w:rPr>
                <w:rFonts w:hint="eastAsia" w:ascii="仿宋_GB2312" w:hAnsi="仿宋_GB2312" w:eastAsia="仿宋_GB2312" w:cs="仿宋_GB2312"/>
                <w:szCs w:val="21"/>
              </w:rPr>
              <w:t>刘娟</w:t>
            </w:r>
          </w:p>
          <w:p w14:paraId="32477B5C">
            <w:pPr>
              <w:rPr>
                <w:rFonts w:ascii="仿宋_GB2312" w:hAnsi="仿宋_GB2312" w:eastAsia="仿宋_GB2312" w:cs="仿宋_GB2312"/>
                <w:szCs w:val="21"/>
              </w:rPr>
            </w:pPr>
            <w:r>
              <w:rPr>
                <w:rFonts w:hint="eastAsia" w:ascii="仿宋_GB2312" w:hAnsi="仿宋_GB2312" w:eastAsia="仿宋_GB2312" w:cs="仿宋_GB2312"/>
                <w:szCs w:val="21"/>
              </w:rPr>
              <w:t>高级经理</w:t>
            </w:r>
          </w:p>
        </w:tc>
        <w:tc>
          <w:tcPr>
            <w:tcW w:w="1496" w:type="dxa"/>
          </w:tcPr>
          <w:p w14:paraId="2994A4C4">
            <w:pPr>
              <w:rPr>
                <w:rFonts w:ascii="仿宋_GB2312" w:hAnsi="仿宋_GB2312" w:eastAsia="仿宋_GB2312" w:cs="仿宋_GB2312"/>
                <w:szCs w:val="21"/>
              </w:rPr>
            </w:pPr>
            <w:r>
              <w:rPr>
                <w:rFonts w:hint="eastAsia" w:ascii="仿宋_GB2312" w:hAnsi="仿宋_GB2312" w:eastAsia="仿宋_GB2312" w:cs="仿宋_GB2312"/>
                <w:szCs w:val="21"/>
              </w:rPr>
              <w:t>15216782481</w:t>
            </w:r>
          </w:p>
          <w:p w14:paraId="2DE2022A">
            <w:pPr>
              <w:rPr>
                <w:rFonts w:ascii="仿宋_GB2312" w:hAnsi="仿宋_GB2312" w:eastAsia="仿宋_GB2312" w:cs="仿宋_GB2312"/>
                <w:szCs w:val="21"/>
              </w:rPr>
            </w:pPr>
            <w:r>
              <w:rPr>
                <w:rFonts w:hint="eastAsia" w:ascii="仿宋_GB2312" w:hAnsi="仿宋_GB2312" w:eastAsia="仿宋_GB2312" w:cs="仿宋_GB2312"/>
                <w:szCs w:val="21"/>
              </w:rPr>
              <w:t>Jliu@evistek.com</w:t>
            </w:r>
          </w:p>
        </w:tc>
      </w:tr>
    </w:tbl>
    <w:p w14:paraId="47A6CF57">
      <w:pPr>
        <w:rPr>
          <w:rFonts w:ascii="方正小标宋简体" w:hAnsi="方正小标宋简体" w:eastAsia="方正小标宋简体" w:cs="方正小标宋简体"/>
          <w:spacing w:val="-14"/>
          <w:sz w:val="36"/>
          <w:szCs w:val="36"/>
        </w:rPr>
      </w:pPr>
      <w:r>
        <w:rPr>
          <w:rFonts w:hint="eastAsia" w:ascii="方正小标宋简体" w:hAnsi="方正小标宋简体" w:eastAsia="方正小标宋简体" w:cs="方正小标宋简体"/>
          <w:spacing w:val="-14"/>
          <w:sz w:val="36"/>
          <w:szCs w:val="36"/>
        </w:rPr>
        <w:br w:type="page"/>
      </w:r>
    </w:p>
    <w:p w14:paraId="1BA25D0F">
      <w:pPr>
        <w:ind w:firstLine="600" w:firstLineChars="200"/>
        <w:rPr>
          <w:rFonts w:ascii="仿宋_GB2312" w:hAnsi="仿宋_GB2312" w:eastAsia="仿宋_GB2312" w:cs="仿宋_GB2312"/>
          <w:sz w:val="30"/>
          <w:szCs w:val="30"/>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60000" w:csb1="00000000"/>
  </w:font>
  <w:font w:name="方正小标宋简体">
    <w:altName w:val="汉仪书宋二KW"/>
    <w:panose1 w:val="03000509000000000000"/>
    <w:charset w:val="86"/>
    <w:family w:val="script"/>
    <w:pitch w:val="default"/>
    <w:sig w:usb0="00000000" w:usb1="00000000" w:usb2="00000000" w:usb3="00000000" w:csb0="000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94480"/>
      <w:docPartObj>
        <w:docPartGallery w:val="autotext"/>
      </w:docPartObj>
    </w:sdtPr>
    <w:sdtEndPr>
      <w:rPr>
        <w:rFonts w:ascii="宋体" w:hAnsi="宋体" w:eastAsia="宋体"/>
        <w:sz w:val="28"/>
        <w:szCs w:val="28"/>
      </w:rPr>
    </w:sdtEndPr>
    <w:sdtContent>
      <w:p w14:paraId="5B9D90B5">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085A68F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33647"/>
    <w:multiLevelType w:val="singleLevel"/>
    <w:tmpl w:val="9AB336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02608"/>
    <w:rsid w:val="0000248F"/>
    <w:rsid w:val="000135E3"/>
    <w:rsid w:val="0001531C"/>
    <w:rsid w:val="0001664D"/>
    <w:rsid w:val="00016CCC"/>
    <w:rsid w:val="000174FD"/>
    <w:rsid w:val="00032F6A"/>
    <w:rsid w:val="0005397E"/>
    <w:rsid w:val="00054C73"/>
    <w:rsid w:val="00066C07"/>
    <w:rsid w:val="000735F1"/>
    <w:rsid w:val="00083098"/>
    <w:rsid w:val="00083AA7"/>
    <w:rsid w:val="0008520C"/>
    <w:rsid w:val="00087D3D"/>
    <w:rsid w:val="00090903"/>
    <w:rsid w:val="000C5694"/>
    <w:rsid w:val="000D2C5D"/>
    <w:rsid w:val="000D74C4"/>
    <w:rsid w:val="000E4102"/>
    <w:rsid w:val="00101F2B"/>
    <w:rsid w:val="001106B6"/>
    <w:rsid w:val="0011189D"/>
    <w:rsid w:val="00123AA2"/>
    <w:rsid w:val="0012578C"/>
    <w:rsid w:val="00127E89"/>
    <w:rsid w:val="00135635"/>
    <w:rsid w:val="00150DD2"/>
    <w:rsid w:val="0015770F"/>
    <w:rsid w:val="00174F71"/>
    <w:rsid w:val="00192096"/>
    <w:rsid w:val="00195542"/>
    <w:rsid w:val="001967CD"/>
    <w:rsid w:val="001A31A6"/>
    <w:rsid w:val="001B022F"/>
    <w:rsid w:val="001B6F58"/>
    <w:rsid w:val="001C2962"/>
    <w:rsid w:val="001C3304"/>
    <w:rsid w:val="001C6B8B"/>
    <w:rsid w:val="001D3906"/>
    <w:rsid w:val="001D6A6C"/>
    <w:rsid w:val="001D706B"/>
    <w:rsid w:val="001E06D1"/>
    <w:rsid w:val="001E36B5"/>
    <w:rsid w:val="001E3E39"/>
    <w:rsid w:val="001F5ECF"/>
    <w:rsid w:val="001F728C"/>
    <w:rsid w:val="0020363C"/>
    <w:rsid w:val="0020634A"/>
    <w:rsid w:val="002106DB"/>
    <w:rsid w:val="002135C3"/>
    <w:rsid w:val="002148A5"/>
    <w:rsid w:val="00217E0D"/>
    <w:rsid w:val="00220C70"/>
    <w:rsid w:val="002221F0"/>
    <w:rsid w:val="0022393F"/>
    <w:rsid w:val="0022450D"/>
    <w:rsid w:val="00224869"/>
    <w:rsid w:val="0022552A"/>
    <w:rsid w:val="0023136B"/>
    <w:rsid w:val="00255293"/>
    <w:rsid w:val="002553B3"/>
    <w:rsid w:val="002645DD"/>
    <w:rsid w:val="00270D97"/>
    <w:rsid w:val="00272F96"/>
    <w:rsid w:val="00274C3F"/>
    <w:rsid w:val="00282EBE"/>
    <w:rsid w:val="00284037"/>
    <w:rsid w:val="00287629"/>
    <w:rsid w:val="0029373F"/>
    <w:rsid w:val="002A24D4"/>
    <w:rsid w:val="002A2508"/>
    <w:rsid w:val="002A258A"/>
    <w:rsid w:val="002B3616"/>
    <w:rsid w:val="002B6FD9"/>
    <w:rsid w:val="002B7565"/>
    <w:rsid w:val="002C1551"/>
    <w:rsid w:val="002C5AF8"/>
    <w:rsid w:val="002D538F"/>
    <w:rsid w:val="002E5F1C"/>
    <w:rsid w:val="002F3648"/>
    <w:rsid w:val="002F7182"/>
    <w:rsid w:val="00320B8C"/>
    <w:rsid w:val="00323311"/>
    <w:rsid w:val="00333FCD"/>
    <w:rsid w:val="003348AC"/>
    <w:rsid w:val="003375C4"/>
    <w:rsid w:val="00341578"/>
    <w:rsid w:val="0034279A"/>
    <w:rsid w:val="003513EE"/>
    <w:rsid w:val="003542DD"/>
    <w:rsid w:val="003578B8"/>
    <w:rsid w:val="003602BB"/>
    <w:rsid w:val="003638F0"/>
    <w:rsid w:val="003832DC"/>
    <w:rsid w:val="003836AB"/>
    <w:rsid w:val="003920A5"/>
    <w:rsid w:val="00392B43"/>
    <w:rsid w:val="0039499B"/>
    <w:rsid w:val="003B5061"/>
    <w:rsid w:val="003B57DF"/>
    <w:rsid w:val="003C1C84"/>
    <w:rsid w:val="003D381F"/>
    <w:rsid w:val="003D3898"/>
    <w:rsid w:val="003D4C70"/>
    <w:rsid w:val="003D597F"/>
    <w:rsid w:val="003E1F85"/>
    <w:rsid w:val="003E46E2"/>
    <w:rsid w:val="003F26C9"/>
    <w:rsid w:val="003F4478"/>
    <w:rsid w:val="003F73E7"/>
    <w:rsid w:val="00412645"/>
    <w:rsid w:val="0041406C"/>
    <w:rsid w:val="004224A2"/>
    <w:rsid w:val="0043667A"/>
    <w:rsid w:val="00436BD9"/>
    <w:rsid w:val="00442CD2"/>
    <w:rsid w:val="00442F49"/>
    <w:rsid w:val="004478D9"/>
    <w:rsid w:val="00451001"/>
    <w:rsid w:val="00452FAC"/>
    <w:rsid w:val="00453243"/>
    <w:rsid w:val="00455047"/>
    <w:rsid w:val="00455BEE"/>
    <w:rsid w:val="00464197"/>
    <w:rsid w:val="0047194A"/>
    <w:rsid w:val="004860E4"/>
    <w:rsid w:val="004928CE"/>
    <w:rsid w:val="004B33AC"/>
    <w:rsid w:val="004B340D"/>
    <w:rsid w:val="004B6FA0"/>
    <w:rsid w:val="004B72CC"/>
    <w:rsid w:val="004C79F0"/>
    <w:rsid w:val="004D4EEB"/>
    <w:rsid w:val="004E1CC5"/>
    <w:rsid w:val="004E42C9"/>
    <w:rsid w:val="004F1B37"/>
    <w:rsid w:val="005019DA"/>
    <w:rsid w:val="00505D68"/>
    <w:rsid w:val="00511203"/>
    <w:rsid w:val="0051196E"/>
    <w:rsid w:val="0051744A"/>
    <w:rsid w:val="00523BC1"/>
    <w:rsid w:val="00530FBA"/>
    <w:rsid w:val="0053287F"/>
    <w:rsid w:val="00533061"/>
    <w:rsid w:val="00533677"/>
    <w:rsid w:val="00535A5F"/>
    <w:rsid w:val="00545BD5"/>
    <w:rsid w:val="005477F3"/>
    <w:rsid w:val="00554548"/>
    <w:rsid w:val="00557C9D"/>
    <w:rsid w:val="0056426F"/>
    <w:rsid w:val="00566C3A"/>
    <w:rsid w:val="00570511"/>
    <w:rsid w:val="00571474"/>
    <w:rsid w:val="0057309C"/>
    <w:rsid w:val="00573156"/>
    <w:rsid w:val="005757CA"/>
    <w:rsid w:val="00582916"/>
    <w:rsid w:val="00594BAB"/>
    <w:rsid w:val="005A1A56"/>
    <w:rsid w:val="005A2483"/>
    <w:rsid w:val="005A56F7"/>
    <w:rsid w:val="005A66D0"/>
    <w:rsid w:val="005F1150"/>
    <w:rsid w:val="005F18E9"/>
    <w:rsid w:val="005F4FD9"/>
    <w:rsid w:val="00600365"/>
    <w:rsid w:val="006006C8"/>
    <w:rsid w:val="00601D45"/>
    <w:rsid w:val="006103C1"/>
    <w:rsid w:val="006107E9"/>
    <w:rsid w:val="00611A77"/>
    <w:rsid w:val="00613057"/>
    <w:rsid w:val="00620A69"/>
    <w:rsid w:val="00622AF5"/>
    <w:rsid w:val="006253FE"/>
    <w:rsid w:val="00630198"/>
    <w:rsid w:val="00634BBC"/>
    <w:rsid w:val="006412AC"/>
    <w:rsid w:val="00647F42"/>
    <w:rsid w:val="00681265"/>
    <w:rsid w:val="00683A31"/>
    <w:rsid w:val="0069074E"/>
    <w:rsid w:val="00692E0C"/>
    <w:rsid w:val="006A1A56"/>
    <w:rsid w:val="006A6942"/>
    <w:rsid w:val="006B5FBD"/>
    <w:rsid w:val="006B7D1E"/>
    <w:rsid w:val="006C0DD2"/>
    <w:rsid w:val="006C561F"/>
    <w:rsid w:val="006C7049"/>
    <w:rsid w:val="006D1846"/>
    <w:rsid w:val="006E02F6"/>
    <w:rsid w:val="006E40D4"/>
    <w:rsid w:val="006F2CE6"/>
    <w:rsid w:val="007129B6"/>
    <w:rsid w:val="00715DBA"/>
    <w:rsid w:val="0071613C"/>
    <w:rsid w:val="00717095"/>
    <w:rsid w:val="007255A9"/>
    <w:rsid w:val="00730FB9"/>
    <w:rsid w:val="0073359C"/>
    <w:rsid w:val="007512BB"/>
    <w:rsid w:val="007513C4"/>
    <w:rsid w:val="00757658"/>
    <w:rsid w:val="00767412"/>
    <w:rsid w:val="0077183C"/>
    <w:rsid w:val="007873F5"/>
    <w:rsid w:val="0079174A"/>
    <w:rsid w:val="007A4E96"/>
    <w:rsid w:val="007A5C9C"/>
    <w:rsid w:val="007C488F"/>
    <w:rsid w:val="007E4DE0"/>
    <w:rsid w:val="007E7990"/>
    <w:rsid w:val="007F344E"/>
    <w:rsid w:val="008050B3"/>
    <w:rsid w:val="0081102C"/>
    <w:rsid w:val="0081146B"/>
    <w:rsid w:val="00821FA4"/>
    <w:rsid w:val="00825252"/>
    <w:rsid w:val="0082688E"/>
    <w:rsid w:val="00842A52"/>
    <w:rsid w:val="0084502E"/>
    <w:rsid w:val="00847E9D"/>
    <w:rsid w:val="008526D1"/>
    <w:rsid w:val="00853005"/>
    <w:rsid w:val="008573DD"/>
    <w:rsid w:val="00875957"/>
    <w:rsid w:val="00883EC0"/>
    <w:rsid w:val="00886CC6"/>
    <w:rsid w:val="00892D40"/>
    <w:rsid w:val="008938C4"/>
    <w:rsid w:val="00893BE9"/>
    <w:rsid w:val="008A5114"/>
    <w:rsid w:val="008A6070"/>
    <w:rsid w:val="008A6110"/>
    <w:rsid w:val="008A6EA4"/>
    <w:rsid w:val="008C5FF1"/>
    <w:rsid w:val="008D37A1"/>
    <w:rsid w:val="008D3B41"/>
    <w:rsid w:val="008D43D6"/>
    <w:rsid w:val="008D69A5"/>
    <w:rsid w:val="008D780E"/>
    <w:rsid w:val="008E19C8"/>
    <w:rsid w:val="008E6EED"/>
    <w:rsid w:val="008F18E0"/>
    <w:rsid w:val="008F7F0B"/>
    <w:rsid w:val="009030E2"/>
    <w:rsid w:val="009073BC"/>
    <w:rsid w:val="0091023D"/>
    <w:rsid w:val="00913977"/>
    <w:rsid w:val="0092026F"/>
    <w:rsid w:val="009277EF"/>
    <w:rsid w:val="00931FBC"/>
    <w:rsid w:val="009424D9"/>
    <w:rsid w:val="00963D95"/>
    <w:rsid w:val="009652DC"/>
    <w:rsid w:val="009760C9"/>
    <w:rsid w:val="00980158"/>
    <w:rsid w:val="00983C84"/>
    <w:rsid w:val="00984F06"/>
    <w:rsid w:val="00990C20"/>
    <w:rsid w:val="00991FCB"/>
    <w:rsid w:val="009964E3"/>
    <w:rsid w:val="00996F1C"/>
    <w:rsid w:val="00997EF4"/>
    <w:rsid w:val="009A0EDB"/>
    <w:rsid w:val="009A6DCF"/>
    <w:rsid w:val="009A7605"/>
    <w:rsid w:val="009B6E25"/>
    <w:rsid w:val="009C01D8"/>
    <w:rsid w:val="009C378D"/>
    <w:rsid w:val="009C3D47"/>
    <w:rsid w:val="009C5ECC"/>
    <w:rsid w:val="009D1628"/>
    <w:rsid w:val="009D1C35"/>
    <w:rsid w:val="009D33C4"/>
    <w:rsid w:val="009E2CF3"/>
    <w:rsid w:val="009F53C8"/>
    <w:rsid w:val="009F66D3"/>
    <w:rsid w:val="00A06FBC"/>
    <w:rsid w:val="00A1087D"/>
    <w:rsid w:val="00A31E0B"/>
    <w:rsid w:val="00A3754B"/>
    <w:rsid w:val="00A429FC"/>
    <w:rsid w:val="00A52A86"/>
    <w:rsid w:val="00A55690"/>
    <w:rsid w:val="00A55FF7"/>
    <w:rsid w:val="00A712CB"/>
    <w:rsid w:val="00A750B0"/>
    <w:rsid w:val="00A77CE2"/>
    <w:rsid w:val="00A86BB2"/>
    <w:rsid w:val="00A91399"/>
    <w:rsid w:val="00AB0449"/>
    <w:rsid w:val="00AB0984"/>
    <w:rsid w:val="00AD221E"/>
    <w:rsid w:val="00AE2BE9"/>
    <w:rsid w:val="00AE6846"/>
    <w:rsid w:val="00AF6DF1"/>
    <w:rsid w:val="00B0222A"/>
    <w:rsid w:val="00B044A6"/>
    <w:rsid w:val="00B0456C"/>
    <w:rsid w:val="00B050D0"/>
    <w:rsid w:val="00B05654"/>
    <w:rsid w:val="00B20C84"/>
    <w:rsid w:val="00B22F3B"/>
    <w:rsid w:val="00B309BF"/>
    <w:rsid w:val="00B325AF"/>
    <w:rsid w:val="00B34CFB"/>
    <w:rsid w:val="00B5042D"/>
    <w:rsid w:val="00B606AB"/>
    <w:rsid w:val="00B72BAB"/>
    <w:rsid w:val="00B96CF6"/>
    <w:rsid w:val="00BA37EB"/>
    <w:rsid w:val="00BA45EF"/>
    <w:rsid w:val="00BA57A5"/>
    <w:rsid w:val="00BB6E66"/>
    <w:rsid w:val="00BD7077"/>
    <w:rsid w:val="00BD740D"/>
    <w:rsid w:val="00BE4A74"/>
    <w:rsid w:val="00BE70B5"/>
    <w:rsid w:val="00BF1049"/>
    <w:rsid w:val="00BF39D3"/>
    <w:rsid w:val="00C01687"/>
    <w:rsid w:val="00C021D2"/>
    <w:rsid w:val="00C116C0"/>
    <w:rsid w:val="00C172F6"/>
    <w:rsid w:val="00C233F3"/>
    <w:rsid w:val="00C24191"/>
    <w:rsid w:val="00C24C0C"/>
    <w:rsid w:val="00C27294"/>
    <w:rsid w:val="00C36EDF"/>
    <w:rsid w:val="00C41C5E"/>
    <w:rsid w:val="00C6098A"/>
    <w:rsid w:val="00C6172C"/>
    <w:rsid w:val="00C661C2"/>
    <w:rsid w:val="00C7572E"/>
    <w:rsid w:val="00C80DFA"/>
    <w:rsid w:val="00C87FB7"/>
    <w:rsid w:val="00CA466F"/>
    <w:rsid w:val="00CA5F5A"/>
    <w:rsid w:val="00CA7715"/>
    <w:rsid w:val="00CD0000"/>
    <w:rsid w:val="00CD190A"/>
    <w:rsid w:val="00CE18EE"/>
    <w:rsid w:val="00CE5D1E"/>
    <w:rsid w:val="00D01763"/>
    <w:rsid w:val="00D15434"/>
    <w:rsid w:val="00D16E98"/>
    <w:rsid w:val="00D22239"/>
    <w:rsid w:val="00D37474"/>
    <w:rsid w:val="00D40D27"/>
    <w:rsid w:val="00D66E96"/>
    <w:rsid w:val="00D72E12"/>
    <w:rsid w:val="00D8100A"/>
    <w:rsid w:val="00D829A4"/>
    <w:rsid w:val="00DA2DF7"/>
    <w:rsid w:val="00DA41DA"/>
    <w:rsid w:val="00DA5E1E"/>
    <w:rsid w:val="00DB1E74"/>
    <w:rsid w:val="00DB4D0B"/>
    <w:rsid w:val="00DB761C"/>
    <w:rsid w:val="00DC6572"/>
    <w:rsid w:val="00DD7501"/>
    <w:rsid w:val="00DE5258"/>
    <w:rsid w:val="00DF6A69"/>
    <w:rsid w:val="00E01EFF"/>
    <w:rsid w:val="00E01F7E"/>
    <w:rsid w:val="00E02AEA"/>
    <w:rsid w:val="00E11FEF"/>
    <w:rsid w:val="00E128EB"/>
    <w:rsid w:val="00E25556"/>
    <w:rsid w:val="00E30879"/>
    <w:rsid w:val="00E366EC"/>
    <w:rsid w:val="00E3756E"/>
    <w:rsid w:val="00E40E67"/>
    <w:rsid w:val="00E461AD"/>
    <w:rsid w:val="00E507E2"/>
    <w:rsid w:val="00E551BD"/>
    <w:rsid w:val="00E62B21"/>
    <w:rsid w:val="00E82CB9"/>
    <w:rsid w:val="00E93C57"/>
    <w:rsid w:val="00EB19F8"/>
    <w:rsid w:val="00EC0A2F"/>
    <w:rsid w:val="00EC1E69"/>
    <w:rsid w:val="00ED337B"/>
    <w:rsid w:val="00ED42FC"/>
    <w:rsid w:val="00EE720F"/>
    <w:rsid w:val="00EF4D68"/>
    <w:rsid w:val="00EF5A5E"/>
    <w:rsid w:val="00F00178"/>
    <w:rsid w:val="00F020A1"/>
    <w:rsid w:val="00F15C09"/>
    <w:rsid w:val="00F160AB"/>
    <w:rsid w:val="00F16B6C"/>
    <w:rsid w:val="00F174F3"/>
    <w:rsid w:val="00F20169"/>
    <w:rsid w:val="00F22E52"/>
    <w:rsid w:val="00F317A9"/>
    <w:rsid w:val="00F3769D"/>
    <w:rsid w:val="00F46FBB"/>
    <w:rsid w:val="00F52D68"/>
    <w:rsid w:val="00F541DE"/>
    <w:rsid w:val="00F6330E"/>
    <w:rsid w:val="00F63B65"/>
    <w:rsid w:val="00F6755F"/>
    <w:rsid w:val="00F70E5D"/>
    <w:rsid w:val="00F71A24"/>
    <w:rsid w:val="00F74AA9"/>
    <w:rsid w:val="00F80BF0"/>
    <w:rsid w:val="00F80C5F"/>
    <w:rsid w:val="00F90242"/>
    <w:rsid w:val="00F904EE"/>
    <w:rsid w:val="00F961F3"/>
    <w:rsid w:val="00FA0D5B"/>
    <w:rsid w:val="00FA5722"/>
    <w:rsid w:val="00FC28B9"/>
    <w:rsid w:val="00FD4F81"/>
    <w:rsid w:val="00FE05AD"/>
    <w:rsid w:val="00FE05B2"/>
    <w:rsid w:val="00FE39DC"/>
    <w:rsid w:val="00FE3B80"/>
    <w:rsid w:val="00FE5F2C"/>
    <w:rsid w:val="00FE7852"/>
    <w:rsid w:val="00FE7B4C"/>
    <w:rsid w:val="00FE7E4C"/>
    <w:rsid w:val="00FF2D7A"/>
    <w:rsid w:val="00FF2D9B"/>
    <w:rsid w:val="00FF562C"/>
    <w:rsid w:val="00FF5D33"/>
    <w:rsid w:val="00FF6E1A"/>
    <w:rsid w:val="00FF7809"/>
    <w:rsid w:val="012810B4"/>
    <w:rsid w:val="01395688"/>
    <w:rsid w:val="01BD7A4F"/>
    <w:rsid w:val="05FB6D97"/>
    <w:rsid w:val="07D76969"/>
    <w:rsid w:val="109D19A3"/>
    <w:rsid w:val="11433741"/>
    <w:rsid w:val="13F27E02"/>
    <w:rsid w:val="14FE5F5C"/>
    <w:rsid w:val="154836A5"/>
    <w:rsid w:val="16412E71"/>
    <w:rsid w:val="17B76982"/>
    <w:rsid w:val="18697B91"/>
    <w:rsid w:val="18DD597D"/>
    <w:rsid w:val="1C957EC8"/>
    <w:rsid w:val="1EC10726"/>
    <w:rsid w:val="1EC57AEB"/>
    <w:rsid w:val="211A47CD"/>
    <w:rsid w:val="21BF6A73"/>
    <w:rsid w:val="221726FC"/>
    <w:rsid w:val="22A55C69"/>
    <w:rsid w:val="23BD55FE"/>
    <w:rsid w:val="2AF43C32"/>
    <w:rsid w:val="2D151528"/>
    <w:rsid w:val="2D80720C"/>
    <w:rsid w:val="2E771A3B"/>
    <w:rsid w:val="2E994550"/>
    <w:rsid w:val="305E77A3"/>
    <w:rsid w:val="32AF463E"/>
    <w:rsid w:val="33C6542A"/>
    <w:rsid w:val="35EC149E"/>
    <w:rsid w:val="374E4C69"/>
    <w:rsid w:val="3B40257B"/>
    <w:rsid w:val="3B702608"/>
    <w:rsid w:val="3C511844"/>
    <w:rsid w:val="3C9F0936"/>
    <w:rsid w:val="3FE931E1"/>
    <w:rsid w:val="407041AB"/>
    <w:rsid w:val="445709AF"/>
    <w:rsid w:val="479512C3"/>
    <w:rsid w:val="4AD41253"/>
    <w:rsid w:val="4D7BED31"/>
    <w:rsid w:val="512A0EDA"/>
    <w:rsid w:val="52E33AC0"/>
    <w:rsid w:val="58D376CA"/>
    <w:rsid w:val="596A4F3B"/>
    <w:rsid w:val="5A9304C2"/>
    <w:rsid w:val="5B865931"/>
    <w:rsid w:val="5D7373C1"/>
    <w:rsid w:val="5DE70250"/>
    <w:rsid w:val="5FB84D0E"/>
    <w:rsid w:val="5FCB6008"/>
    <w:rsid w:val="5FF0EC27"/>
    <w:rsid w:val="63FC2C34"/>
    <w:rsid w:val="649E0048"/>
    <w:rsid w:val="64B654D9"/>
    <w:rsid w:val="676C141B"/>
    <w:rsid w:val="68C8445A"/>
    <w:rsid w:val="69650B75"/>
    <w:rsid w:val="6ABB6AFF"/>
    <w:rsid w:val="6DEBE240"/>
    <w:rsid w:val="72EE0533"/>
    <w:rsid w:val="736D76AA"/>
    <w:rsid w:val="738D1AFA"/>
    <w:rsid w:val="76EB7264"/>
    <w:rsid w:val="782F1BDD"/>
    <w:rsid w:val="799A0ACD"/>
    <w:rsid w:val="7A20191A"/>
    <w:rsid w:val="7A8552D9"/>
    <w:rsid w:val="7C4902F7"/>
    <w:rsid w:val="7C782AEB"/>
    <w:rsid w:val="7CC876FF"/>
    <w:rsid w:val="7DF43432"/>
    <w:rsid w:val="7F983D01"/>
    <w:rsid w:val="7FBFCCAC"/>
    <w:rsid w:val="BFEE7A65"/>
    <w:rsid w:val="BFFF10BB"/>
    <w:rsid w:val="D9B7ABE3"/>
    <w:rsid w:val="DD7D0EB8"/>
    <w:rsid w:val="FB3F26FD"/>
    <w:rsid w:val="FBDE9E63"/>
    <w:rsid w:val="FDBEBE84"/>
    <w:rsid w:val="FF4ED807"/>
    <w:rsid w:val="FF6A263A"/>
    <w:rsid w:val="FFAFD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31"/>
    <w:basedOn w:val="7"/>
    <w:qFormat/>
    <w:uiPriority w:val="0"/>
    <w:rPr>
      <w:rFonts w:hint="eastAsia" w:ascii="仿宋_GB2312" w:eastAsia="仿宋_GB2312" w:cs="仿宋_GB2312"/>
      <w:color w:val="000000"/>
      <w:sz w:val="52"/>
      <w:szCs w:val="52"/>
      <w:u w:val="none"/>
    </w:rPr>
  </w:style>
  <w:style w:type="character" w:customStyle="1" w:styleId="10">
    <w:name w:val="font41"/>
    <w:basedOn w:val="7"/>
    <w:qFormat/>
    <w:uiPriority w:val="0"/>
    <w:rPr>
      <w:rFonts w:hint="eastAsia" w:ascii="宋体" w:hAnsi="宋体" w:eastAsia="宋体" w:cs="宋体"/>
      <w:color w:val="000000"/>
      <w:sz w:val="52"/>
      <w:szCs w:val="52"/>
      <w:u w:val="none"/>
    </w:rPr>
  </w:style>
  <w:style w:type="paragraph" w:styleId="11">
    <w:name w:val="List Paragraph"/>
    <w:basedOn w:val="1"/>
    <w:unhideWhenUsed/>
    <w:qFormat/>
    <w:uiPriority w:val="99"/>
    <w:pPr>
      <w:ind w:firstLine="420" w:firstLineChars="200"/>
    </w:pPr>
  </w:style>
  <w:style w:type="character" w:customStyle="1" w:styleId="12">
    <w:name w:val="页脚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1988</Words>
  <Characters>11333</Characters>
  <Lines>94</Lines>
  <Paragraphs>26</Paragraphs>
  <TotalTime>199</TotalTime>
  <ScaleCrop>false</ScaleCrop>
  <LinksUpToDate>false</LinksUpToDate>
  <CharactersWithSpaces>13295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2025-01-01T03:27:00Z</dcterms:created>
  <dc:creator>Mamba Never Out</dc:creator>
  <cp:lastModifiedBy>George</cp:lastModifiedBy>
  <cp:lastPrinted>2025-01-15T10:09:00Z</cp:lastPrinted>
  <dcterms:modified xsi:type="dcterms:W3CDTF">2025-01-23T17:10:39Z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E293302544B14E0B8F07926797AD8CD2_43</vt:lpwstr>
  </property>
  <property fmtid="{D5CDD505-2E9C-101B-9397-08002B2CF9AE}" pid="4" name="KSOTemplateDocerSaveRecord">
    <vt:lpwstr>eyJoZGlkIjoiYzU0MDhmYjM3OGNlNTRiNjRkNDkxOTY5NGQwOWVkMjQiLCJ1c2VySWQiOiIxMTIxNDE3NjM5In0=</vt:lpwstr>
  </property>
</Properties>
</file>