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left"/>
        <w:rPr>
          <w:rFonts w:ascii="仿宋_GB2312" w:hAnsi="仿宋_GB2312" w:eastAsia="仿宋_GB2312" w:cs="仿宋_GB2312"/>
          <w:b/>
          <w:bCs/>
          <w:spacing w:val="8"/>
          <w:kern w:val="0"/>
          <w:sz w:val="32"/>
          <w:szCs w:val="32"/>
          <w:lang w:bidi="mn-Mong-CN"/>
        </w:rPr>
      </w:pPr>
      <w:bookmarkStart w:id="0" w:name="_GoBack"/>
      <w:bookmarkEnd w:id="0"/>
      <w:r>
        <w:rPr>
          <w:rFonts w:hint="eastAsia" w:ascii="仿宋_GB2312" w:hAnsi="仿宋_GB2312" w:eastAsia="仿宋_GB2312" w:cs="仿宋_GB2312"/>
          <w:b/>
          <w:bCs/>
          <w:spacing w:val="8"/>
          <w:kern w:val="0"/>
          <w:sz w:val="32"/>
          <w:szCs w:val="32"/>
          <w:lang w:bidi="mn-Mong-CN"/>
        </w:rPr>
        <w:t>附件3 各经费支出项目验收审计认定要求</w:t>
      </w:r>
    </w:p>
    <w:tbl>
      <w:tblPr>
        <w:tblStyle w:val="6"/>
        <w:tblpPr w:leftFromText="180" w:rightFromText="180" w:vertAnchor="text" w:horzAnchor="page" w:tblpX="1344" w:tblpY="187"/>
        <w:tblOverlap w:val="never"/>
        <w:tblW w:w="9758" w:type="dxa"/>
        <w:tblInd w:w="0" w:type="dxa"/>
        <w:shd w:val="clear" w:color="auto" w:fill="FFFFFF"/>
        <w:tblLayout w:type="fixed"/>
        <w:tblCellMar>
          <w:top w:w="0" w:type="dxa"/>
          <w:left w:w="0" w:type="dxa"/>
          <w:bottom w:w="0" w:type="dxa"/>
          <w:right w:w="0" w:type="dxa"/>
        </w:tblCellMar>
      </w:tblPr>
      <w:tblGrid>
        <w:gridCol w:w="485"/>
        <w:gridCol w:w="1115"/>
        <w:gridCol w:w="2530"/>
        <w:gridCol w:w="2585"/>
        <w:gridCol w:w="1127"/>
        <w:gridCol w:w="1916"/>
      </w:tblGrid>
      <w:tr>
        <w:tblPrEx>
          <w:tblCellMar>
            <w:top w:w="0" w:type="dxa"/>
            <w:left w:w="0" w:type="dxa"/>
            <w:bottom w:w="0" w:type="dxa"/>
            <w:right w:w="0" w:type="dxa"/>
          </w:tblCellMar>
        </w:tblPrEx>
        <w:trPr>
          <w:trHeight w:val="780" w:hRule="atLeast"/>
        </w:trPr>
        <w:tc>
          <w:tcPr>
            <w:tcW w:w="485" w:type="dxa"/>
            <w:tcBorders>
              <w:top w:val="single" w:color="000000" w:sz="6" w:space="0"/>
              <w:left w:val="single" w:color="000000" w:sz="6" w:space="0"/>
              <w:bottom w:val="single" w:color="000000" w:sz="6" w:space="0"/>
              <w:right w:val="single" w:color="000000" w:sz="6" w:space="0"/>
            </w:tcBorders>
            <w:shd w:val="clear" w:color="auto" w:fill="FFFFFF"/>
            <w:tcMar>
              <w:top w:w="2" w:type="dxa"/>
              <w:left w:w="2" w:type="dxa"/>
              <w:bottom w:w="2" w:type="dxa"/>
              <w:right w:w="2" w:type="dxa"/>
            </w:tcMar>
            <w:vAlign w:val="center"/>
          </w:tcPr>
          <w:p>
            <w:pPr>
              <w:widowControl/>
              <w:wordWrap w:val="0"/>
              <w:spacing w:line="560" w:lineRule="exact"/>
              <w:jc w:val="center"/>
              <w:textAlignment w:val="center"/>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序号</w:t>
            </w:r>
          </w:p>
        </w:tc>
        <w:tc>
          <w:tcPr>
            <w:tcW w:w="1115" w:type="dxa"/>
            <w:tcBorders>
              <w:top w:val="single" w:color="auto" w:sz="6" w:space="0"/>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center"/>
              <w:textAlignment w:val="center"/>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经费支出项目</w:t>
            </w:r>
          </w:p>
        </w:tc>
        <w:tc>
          <w:tcPr>
            <w:tcW w:w="2530" w:type="dxa"/>
            <w:tcBorders>
              <w:top w:val="single" w:color="auto" w:sz="6" w:space="0"/>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center"/>
              <w:textAlignment w:val="center"/>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支出项目说明</w:t>
            </w:r>
          </w:p>
        </w:tc>
        <w:tc>
          <w:tcPr>
            <w:tcW w:w="2585" w:type="dxa"/>
            <w:tcBorders>
              <w:top w:val="single" w:color="auto" w:sz="6" w:space="0"/>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center"/>
              <w:textAlignment w:val="center"/>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限制条件</w:t>
            </w:r>
          </w:p>
        </w:tc>
        <w:tc>
          <w:tcPr>
            <w:tcW w:w="1127" w:type="dxa"/>
            <w:tcBorders>
              <w:top w:val="single" w:color="auto" w:sz="6" w:space="0"/>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center"/>
              <w:textAlignment w:val="center"/>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比例限制</w:t>
            </w:r>
          </w:p>
        </w:tc>
        <w:tc>
          <w:tcPr>
            <w:tcW w:w="1916" w:type="dxa"/>
            <w:tcBorders>
              <w:top w:val="single" w:color="auto" w:sz="6" w:space="0"/>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center"/>
              <w:textAlignment w:val="center"/>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被审单位需提供的资料</w:t>
            </w:r>
          </w:p>
        </w:tc>
      </w:tr>
      <w:tr>
        <w:tblPrEx>
          <w:tblCellMar>
            <w:top w:w="0" w:type="dxa"/>
            <w:left w:w="0" w:type="dxa"/>
            <w:bottom w:w="0" w:type="dxa"/>
            <w:right w:w="0" w:type="dxa"/>
          </w:tblCellMar>
        </w:tblPrEx>
        <w:trPr>
          <w:trHeight w:val="2235" w:hRule="atLeast"/>
        </w:trPr>
        <w:tc>
          <w:tcPr>
            <w:tcW w:w="485" w:type="dxa"/>
            <w:tcBorders>
              <w:top w:val="nil"/>
              <w:left w:val="single" w:color="auto" w:sz="6" w:space="0"/>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center"/>
              <w:textAlignment w:val="center"/>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1</w:t>
            </w:r>
          </w:p>
        </w:tc>
        <w:tc>
          <w:tcPr>
            <w:tcW w:w="1115"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center"/>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b/>
                <w:bCs/>
                <w:spacing w:val="8"/>
                <w:kern w:val="0"/>
                <w:sz w:val="24"/>
                <w:szCs w:val="24"/>
                <w:lang w:bidi="mn-Mong-CN"/>
              </w:rPr>
              <w:t>设备购置</w:t>
            </w:r>
          </w:p>
          <w:p>
            <w:pPr>
              <w:widowControl/>
              <w:wordWrap w:val="0"/>
              <w:spacing w:line="560" w:lineRule="exact"/>
              <w:jc w:val="center"/>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b/>
                <w:bCs/>
                <w:spacing w:val="8"/>
                <w:kern w:val="0"/>
                <w:sz w:val="24"/>
                <w:szCs w:val="24"/>
                <w:lang w:bidi="mn-Mong-CN"/>
              </w:rPr>
              <w:t>和租赁费</w:t>
            </w:r>
          </w:p>
        </w:tc>
        <w:tc>
          <w:tcPr>
            <w:tcW w:w="2530"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left"/>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spacing w:val="8"/>
                <w:kern w:val="0"/>
                <w:sz w:val="24"/>
                <w:szCs w:val="24"/>
                <w:lang w:bidi="mn-Mong-CN"/>
              </w:rPr>
              <w:t>设备购置和租赁费是指在项目实施过程中，购置的与项目有关的仪器或设备支出，对现有设备的升级改造费用，以及租赁其他单位仪器、设备而发生的租赁费用。</w:t>
            </w:r>
          </w:p>
        </w:tc>
        <w:tc>
          <w:tcPr>
            <w:tcW w:w="2585"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left"/>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spacing w:val="8"/>
                <w:kern w:val="0"/>
                <w:sz w:val="24"/>
                <w:szCs w:val="24"/>
                <w:lang w:bidi="mn-Mong-CN"/>
              </w:rPr>
              <w:t>对于使用申报资金购置的单台/件/套大于10万元小于50万元的仪器设备，应通过至少三方的比价确定供应商；对于使用申报资金购置的单台/件/套大于50万元的仪器设备，除通过至少三方的比价确定供应商以外，应提交专家评审意见。</w:t>
            </w:r>
          </w:p>
        </w:tc>
        <w:tc>
          <w:tcPr>
            <w:tcW w:w="1127"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left"/>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spacing w:val="8"/>
                <w:kern w:val="0"/>
                <w:sz w:val="24"/>
                <w:szCs w:val="24"/>
                <w:lang w:bidi="mn-Mong-CN"/>
              </w:rPr>
              <w:t>审计认定数以被审单位在《项目申报书》中申报的金额为上限。</w:t>
            </w:r>
          </w:p>
        </w:tc>
        <w:tc>
          <w:tcPr>
            <w:tcW w:w="1916"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left"/>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spacing w:val="8"/>
                <w:kern w:val="0"/>
                <w:sz w:val="24"/>
                <w:szCs w:val="24"/>
                <w:lang w:bidi="mn-Mong-CN"/>
              </w:rPr>
              <w:t>采购和租赁合同、发票，支付银行水单、三方比价说明（如有）、专家评审意见（如有）、项目的仪器、设备明细和盘点表</w:t>
            </w:r>
          </w:p>
        </w:tc>
      </w:tr>
      <w:tr>
        <w:tblPrEx>
          <w:tblCellMar>
            <w:top w:w="0" w:type="dxa"/>
            <w:left w:w="0" w:type="dxa"/>
            <w:bottom w:w="0" w:type="dxa"/>
            <w:right w:w="0" w:type="dxa"/>
          </w:tblCellMar>
        </w:tblPrEx>
        <w:trPr>
          <w:trHeight w:val="3480" w:hRule="atLeast"/>
        </w:trPr>
        <w:tc>
          <w:tcPr>
            <w:tcW w:w="485" w:type="dxa"/>
            <w:tcBorders>
              <w:top w:val="nil"/>
              <w:left w:val="single" w:color="auto" w:sz="6" w:space="0"/>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center"/>
              <w:textAlignment w:val="center"/>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2</w:t>
            </w:r>
          </w:p>
        </w:tc>
        <w:tc>
          <w:tcPr>
            <w:tcW w:w="1115"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center"/>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b/>
                <w:bCs/>
                <w:spacing w:val="8"/>
                <w:kern w:val="0"/>
                <w:sz w:val="24"/>
                <w:szCs w:val="24"/>
                <w:lang w:bidi="mn-Mong-CN"/>
              </w:rPr>
              <w:t>研发人员</w:t>
            </w:r>
          </w:p>
          <w:p>
            <w:pPr>
              <w:widowControl/>
              <w:wordWrap w:val="0"/>
              <w:spacing w:line="560" w:lineRule="exact"/>
              <w:jc w:val="center"/>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b/>
                <w:bCs/>
                <w:spacing w:val="8"/>
                <w:kern w:val="0"/>
                <w:sz w:val="24"/>
                <w:szCs w:val="24"/>
                <w:lang w:bidi="mn-Mong-CN"/>
              </w:rPr>
              <w:t>经费</w:t>
            </w:r>
          </w:p>
        </w:tc>
        <w:tc>
          <w:tcPr>
            <w:tcW w:w="2530"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left"/>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spacing w:val="8"/>
                <w:kern w:val="0"/>
                <w:sz w:val="24"/>
                <w:szCs w:val="24"/>
                <w:lang w:bidi="mn-Mong-CN"/>
              </w:rPr>
              <w:t>研发人员经费是指为直接参加项目实施的项目组成员、因项目需要引进人才和临时聘用人员发放的工资薪金和劳务费用。其中，工资薪金是指直接与项目单位签署一年以上期限的劳动合同、并与项目单位存在实质性雇佣关系的员工在项目研发阶段发生的工资性支出；劳务费用是指因项目需要引进人才和临时聘用人员的劳务性费用，劳务费用的发放对象也应与项目单位签署相应的劳务协议。</w:t>
            </w:r>
          </w:p>
        </w:tc>
        <w:tc>
          <w:tcPr>
            <w:tcW w:w="2585"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left"/>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spacing w:val="8"/>
                <w:kern w:val="0"/>
                <w:sz w:val="24"/>
                <w:szCs w:val="24"/>
                <w:lang w:bidi="mn-Mong-CN"/>
              </w:rPr>
              <w:t>要求提供参与项目实施的项目组研发人员的名单，核对与申报情况一致（包括引进人才和临时聘用人员）。项目组研发人员一人承担多个项目的情况下，应提供工资薪金或劳务费用的分摊明细表等相关资料。工资薪金中不应包含由单位承担的项目组人员社保、住房公积金等社会保障性支出和所有的福利费支出。</w:t>
            </w:r>
          </w:p>
        </w:tc>
        <w:tc>
          <w:tcPr>
            <w:tcW w:w="1127"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left"/>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spacing w:val="8"/>
                <w:kern w:val="0"/>
                <w:sz w:val="24"/>
                <w:szCs w:val="24"/>
                <w:lang w:bidi="mn-Mong-CN"/>
              </w:rPr>
              <w:t>按不大于项目实际总投入的70%予以认定，审计认定数以被审单位在《项目申报书》中申报的金额为上限。</w:t>
            </w:r>
          </w:p>
        </w:tc>
        <w:tc>
          <w:tcPr>
            <w:tcW w:w="1916"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left"/>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spacing w:val="8"/>
                <w:kern w:val="0"/>
                <w:sz w:val="24"/>
                <w:szCs w:val="24"/>
                <w:lang w:bidi="mn-Mong-CN"/>
              </w:rPr>
              <w:t>工资核算明细表、银行支付水单、项目组研发人员的名单（与工资核算表一致），经费分摊明细表，劳动合同、劳务协议和个人所得税税单等</w:t>
            </w:r>
          </w:p>
        </w:tc>
      </w:tr>
      <w:tr>
        <w:tblPrEx>
          <w:tblCellMar>
            <w:top w:w="0" w:type="dxa"/>
            <w:left w:w="0" w:type="dxa"/>
            <w:bottom w:w="0" w:type="dxa"/>
            <w:right w:w="0" w:type="dxa"/>
          </w:tblCellMar>
        </w:tblPrEx>
        <w:trPr>
          <w:trHeight w:val="1545" w:hRule="atLeast"/>
        </w:trPr>
        <w:tc>
          <w:tcPr>
            <w:tcW w:w="485" w:type="dxa"/>
            <w:tcBorders>
              <w:top w:val="nil"/>
              <w:left w:val="single" w:color="auto" w:sz="6" w:space="0"/>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center"/>
              <w:textAlignment w:val="center"/>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3</w:t>
            </w:r>
          </w:p>
        </w:tc>
        <w:tc>
          <w:tcPr>
            <w:tcW w:w="1115"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center"/>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b/>
                <w:bCs/>
                <w:spacing w:val="8"/>
                <w:kern w:val="0"/>
                <w:sz w:val="24"/>
                <w:szCs w:val="24"/>
                <w:lang w:bidi="mn-Mong-CN"/>
              </w:rPr>
              <w:t>软件购买和委托开发费</w:t>
            </w:r>
          </w:p>
        </w:tc>
        <w:tc>
          <w:tcPr>
            <w:tcW w:w="2530"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left"/>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spacing w:val="8"/>
                <w:kern w:val="0"/>
                <w:sz w:val="24"/>
                <w:szCs w:val="24"/>
                <w:lang w:bidi="mn-Mong-CN"/>
              </w:rPr>
              <w:t>软件购买和委托开发制作费是指项目实施过程中，所需使用的专业软件购买费用，或者委托第三方专业单位开发、设计和定制的专业软件费用。</w:t>
            </w:r>
          </w:p>
        </w:tc>
        <w:tc>
          <w:tcPr>
            <w:tcW w:w="2585"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left"/>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spacing w:val="8"/>
                <w:kern w:val="0"/>
                <w:sz w:val="24"/>
                <w:szCs w:val="24"/>
                <w:lang w:bidi="mn-Mong-CN"/>
              </w:rPr>
              <w:t>必须是专业软件，不包括常规应用软件和财务软件（如Windows/Mac操作系统、Office软件、常用制图工具软件等）。</w:t>
            </w:r>
          </w:p>
        </w:tc>
        <w:tc>
          <w:tcPr>
            <w:tcW w:w="1127"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left"/>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spacing w:val="8"/>
                <w:kern w:val="0"/>
                <w:sz w:val="24"/>
                <w:szCs w:val="24"/>
                <w:lang w:bidi="mn-Mong-CN"/>
              </w:rPr>
              <w:t>审计认定数以被审单位在《项目申报书》中申报的金额为上限。</w:t>
            </w:r>
          </w:p>
        </w:tc>
        <w:tc>
          <w:tcPr>
            <w:tcW w:w="1916"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left"/>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spacing w:val="8"/>
                <w:kern w:val="0"/>
                <w:sz w:val="24"/>
                <w:szCs w:val="24"/>
                <w:lang w:bidi="mn-Mong-CN"/>
              </w:rPr>
              <w:t>软件购买合同、发票；委托开发软件的合同、发票、银行支付水单等</w:t>
            </w:r>
          </w:p>
        </w:tc>
      </w:tr>
      <w:tr>
        <w:tblPrEx>
          <w:tblCellMar>
            <w:top w:w="0" w:type="dxa"/>
            <w:left w:w="0" w:type="dxa"/>
            <w:bottom w:w="0" w:type="dxa"/>
            <w:right w:w="0" w:type="dxa"/>
          </w:tblCellMar>
        </w:tblPrEx>
        <w:trPr>
          <w:trHeight w:val="689" w:hRule="atLeast"/>
        </w:trPr>
        <w:tc>
          <w:tcPr>
            <w:tcW w:w="485" w:type="dxa"/>
            <w:tcBorders>
              <w:top w:val="nil"/>
              <w:left w:val="single" w:color="auto" w:sz="6" w:space="0"/>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center"/>
              <w:textAlignment w:val="center"/>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4</w:t>
            </w:r>
          </w:p>
        </w:tc>
        <w:tc>
          <w:tcPr>
            <w:tcW w:w="1115"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center"/>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b/>
                <w:bCs/>
                <w:spacing w:val="8"/>
                <w:kern w:val="0"/>
                <w:sz w:val="24"/>
                <w:szCs w:val="24"/>
                <w:lang w:bidi="mn-Mong-CN"/>
              </w:rPr>
              <w:t>委托测试费</w:t>
            </w:r>
          </w:p>
        </w:tc>
        <w:tc>
          <w:tcPr>
            <w:tcW w:w="2530"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left"/>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spacing w:val="8"/>
                <w:kern w:val="0"/>
                <w:sz w:val="24"/>
                <w:szCs w:val="24"/>
                <w:lang w:bidi="mn-Mong-CN"/>
              </w:rPr>
              <w:t>委托业务费是指在项目实施过程中，支付给外部单位（包括项目承担单位内部独立经济核算单位）的检验、检测和试验费用。</w:t>
            </w:r>
          </w:p>
        </w:tc>
        <w:tc>
          <w:tcPr>
            <w:tcW w:w="2585"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left"/>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spacing w:val="8"/>
                <w:kern w:val="0"/>
                <w:sz w:val="24"/>
                <w:szCs w:val="24"/>
                <w:lang w:bidi="mn-Mong-CN"/>
              </w:rPr>
              <w:t>被委托方可以是外部第三方，也可以是项目承担单位内部独立经济核算单位，即：必须能够独立核算、自负盈亏。</w:t>
            </w:r>
          </w:p>
        </w:tc>
        <w:tc>
          <w:tcPr>
            <w:tcW w:w="1127"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left"/>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spacing w:val="8"/>
                <w:kern w:val="0"/>
                <w:sz w:val="24"/>
                <w:szCs w:val="24"/>
                <w:lang w:bidi="mn-Mong-CN"/>
              </w:rPr>
              <w:t>审计认定数以被审单位在《项目申报书》中申报的金额为上限。</w:t>
            </w:r>
          </w:p>
        </w:tc>
        <w:tc>
          <w:tcPr>
            <w:tcW w:w="1916"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left"/>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spacing w:val="8"/>
                <w:kern w:val="0"/>
                <w:sz w:val="24"/>
                <w:szCs w:val="24"/>
                <w:lang w:bidi="mn-Mong-CN"/>
              </w:rPr>
              <w:t>委托检验、测试的合同，发票、成果报告，银行支付水单等</w:t>
            </w:r>
          </w:p>
        </w:tc>
      </w:tr>
      <w:tr>
        <w:tblPrEx>
          <w:tblCellMar>
            <w:top w:w="0" w:type="dxa"/>
            <w:left w:w="0" w:type="dxa"/>
            <w:bottom w:w="0" w:type="dxa"/>
            <w:right w:w="0" w:type="dxa"/>
          </w:tblCellMar>
        </w:tblPrEx>
        <w:trPr>
          <w:trHeight w:val="1665" w:hRule="atLeast"/>
        </w:trPr>
        <w:tc>
          <w:tcPr>
            <w:tcW w:w="485" w:type="dxa"/>
            <w:tcBorders>
              <w:top w:val="nil"/>
              <w:left w:val="single" w:color="auto" w:sz="6" w:space="0"/>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center"/>
              <w:textAlignment w:val="center"/>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5</w:t>
            </w:r>
          </w:p>
        </w:tc>
        <w:tc>
          <w:tcPr>
            <w:tcW w:w="1115"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center"/>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b/>
                <w:bCs/>
                <w:spacing w:val="8"/>
                <w:kern w:val="0"/>
                <w:sz w:val="24"/>
                <w:szCs w:val="24"/>
                <w:lang w:bidi="mn-Mong-CN"/>
              </w:rPr>
              <w:t>商业渠道</w:t>
            </w:r>
          </w:p>
          <w:p>
            <w:pPr>
              <w:widowControl/>
              <w:wordWrap w:val="0"/>
              <w:spacing w:line="560" w:lineRule="exact"/>
              <w:jc w:val="center"/>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b/>
                <w:bCs/>
                <w:spacing w:val="8"/>
                <w:kern w:val="0"/>
                <w:sz w:val="24"/>
                <w:szCs w:val="24"/>
                <w:lang w:bidi="mn-Mong-CN"/>
              </w:rPr>
              <w:t>拓展费用</w:t>
            </w:r>
          </w:p>
        </w:tc>
        <w:tc>
          <w:tcPr>
            <w:tcW w:w="2530"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left"/>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spacing w:val="8"/>
                <w:kern w:val="0"/>
                <w:sz w:val="24"/>
                <w:szCs w:val="24"/>
                <w:lang w:bidi="mn-Mong-CN"/>
              </w:rPr>
              <w:t>商业渠道拓展费用是指为项目成果的应用进行推广和宣传的费用。</w:t>
            </w:r>
          </w:p>
        </w:tc>
        <w:tc>
          <w:tcPr>
            <w:tcW w:w="2585"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left"/>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spacing w:val="8"/>
                <w:kern w:val="0"/>
                <w:sz w:val="24"/>
                <w:szCs w:val="24"/>
                <w:lang w:bidi="mn-Mong-CN"/>
              </w:rPr>
              <w:t>不包括为推广和宣传产品发生的业务招待费和差旅费。</w:t>
            </w:r>
          </w:p>
        </w:tc>
        <w:tc>
          <w:tcPr>
            <w:tcW w:w="1127"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left"/>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spacing w:val="8"/>
                <w:kern w:val="0"/>
                <w:sz w:val="24"/>
                <w:szCs w:val="24"/>
                <w:lang w:bidi="mn-Mong-CN"/>
              </w:rPr>
              <w:t>审计认定数以被审单位在《项目申报书》中申报的金额为上限。</w:t>
            </w:r>
          </w:p>
        </w:tc>
        <w:tc>
          <w:tcPr>
            <w:tcW w:w="1916"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left"/>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spacing w:val="8"/>
                <w:kern w:val="0"/>
                <w:sz w:val="24"/>
                <w:szCs w:val="24"/>
                <w:lang w:bidi="mn-Mong-CN"/>
              </w:rPr>
              <w:t>各类相关合同、发票和银行付款水单等</w:t>
            </w:r>
          </w:p>
        </w:tc>
      </w:tr>
      <w:tr>
        <w:tblPrEx>
          <w:tblCellMar>
            <w:top w:w="0" w:type="dxa"/>
            <w:left w:w="0" w:type="dxa"/>
            <w:bottom w:w="0" w:type="dxa"/>
            <w:right w:w="0" w:type="dxa"/>
          </w:tblCellMar>
        </w:tblPrEx>
        <w:trPr>
          <w:trHeight w:val="1560" w:hRule="atLeast"/>
        </w:trPr>
        <w:tc>
          <w:tcPr>
            <w:tcW w:w="485" w:type="dxa"/>
            <w:tcBorders>
              <w:top w:val="nil"/>
              <w:left w:val="single" w:color="auto" w:sz="6" w:space="0"/>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center"/>
              <w:textAlignment w:val="center"/>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6</w:t>
            </w:r>
          </w:p>
        </w:tc>
        <w:tc>
          <w:tcPr>
            <w:tcW w:w="1115"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center"/>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b/>
                <w:bCs/>
                <w:spacing w:val="8"/>
                <w:kern w:val="0"/>
                <w:sz w:val="24"/>
                <w:szCs w:val="24"/>
                <w:lang w:bidi="mn-Mong-CN"/>
              </w:rPr>
              <w:t>信息和知识产权事务费</w:t>
            </w:r>
          </w:p>
        </w:tc>
        <w:tc>
          <w:tcPr>
            <w:tcW w:w="2530"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left"/>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spacing w:val="8"/>
                <w:kern w:val="0"/>
                <w:sz w:val="24"/>
                <w:szCs w:val="24"/>
                <w:lang w:bidi="mn-Mong-CN"/>
              </w:rPr>
              <w:t>信息和知识产权事务费是指在项目实施过程中需要支付的出版费、资料费、文献检索费、信息采集与交换费、专利申请费（含代理申请）及其他知识产权事务费用等。</w:t>
            </w:r>
          </w:p>
        </w:tc>
        <w:tc>
          <w:tcPr>
            <w:tcW w:w="2585"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left"/>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spacing w:val="8"/>
                <w:kern w:val="0"/>
                <w:sz w:val="24"/>
                <w:szCs w:val="24"/>
                <w:lang w:bidi="mn-Mong-CN"/>
              </w:rPr>
              <w:t>不包括日常的通讯费、快递费、办公资料费等与项目无关、属于日常性的经营费用。 </w:t>
            </w:r>
          </w:p>
        </w:tc>
        <w:tc>
          <w:tcPr>
            <w:tcW w:w="1127"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left"/>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spacing w:val="8"/>
                <w:kern w:val="0"/>
                <w:sz w:val="24"/>
                <w:szCs w:val="24"/>
                <w:lang w:bidi="mn-Mong-CN"/>
              </w:rPr>
              <w:t>审计认定数以被审单位在《项目申报书》中申报的金额为上限。</w:t>
            </w:r>
          </w:p>
        </w:tc>
        <w:tc>
          <w:tcPr>
            <w:tcW w:w="1916"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left"/>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spacing w:val="8"/>
                <w:kern w:val="0"/>
                <w:sz w:val="24"/>
                <w:szCs w:val="24"/>
                <w:lang w:bidi="mn-Mong-CN"/>
              </w:rPr>
              <w:t>发票、银行付款水单及其他证明材料</w:t>
            </w:r>
          </w:p>
        </w:tc>
      </w:tr>
      <w:tr>
        <w:tblPrEx>
          <w:tblCellMar>
            <w:top w:w="0" w:type="dxa"/>
            <w:left w:w="0" w:type="dxa"/>
            <w:bottom w:w="0" w:type="dxa"/>
            <w:right w:w="0" w:type="dxa"/>
          </w:tblCellMar>
        </w:tblPrEx>
        <w:trPr>
          <w:trHeight w:val="2160" w:hRule="atLeast"/>
        </w:trPr>
        <w:tc>
          <w:tcPr>
            <w:tcW w:w="485" w:type="dxa"/>
            <w:tcBorders>
              <w:top w:val="nil"/>
              <w:left w:val="single" w:color="auto" w:sz="6" w:space="0"/>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center"/>
              <w:textAlignment w:val="center"/>
              <w:rPr>
                <w:rFonts w:ascii="仿宋_GB2312" w:hAnsi="仿宋_GB2312" w:eastAsia="仿宋_GB2312" w:cs="仿宋_GB2312"/>
                <w:spacing w:val="8"/>
                <w:kern w:val="0"/>
                <w:sz w:val="32"/>
                <w:szCs w:val="32"/>
                <w:lang w:bidi="mn-Mong-CN"/>
              </w:rPr>
            </w:pPr>
            <w:r>
              <w:rPr>
                <w:rFonts w:hint="eastAsia" w:ascii="仿宋_GB2312" w:hAnsi="仿宋_GB2312" w:eastAsia="仿宋_GB2312" w:cs="仿宋_GB2312"/>
                <w:b/>
                <w:bCs/>
                <w:spacing w:val="8"/>
                <w:kern w:val="0"/>
                <w:sz w:val="32"/>
                <w:szCs w:val="32"/>
                <w:lang w:bidi="mn-Mong-CN"/>
              </w:rPr>
              <w:t>7</w:t>
            </w:r>
          </w:p>
        </w:tc>
        <w:tc>
          <w:tcPr>
            <w:tcW w:w="1115"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center"/>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b/>
                <w:bCs/>
                <w:spacing w:val="8"/>
                <w:kern w:val="0"/>
                <w:sz w:val="24"/>
                <w:szCs w:val="24"/>
                <w:lang w:bidi="mn-Mong-CN"/>
              </w:rPr>
              <w:t>其他费用</w:t>
            </w:r>
          </w:p>
        </w:tc>
        <w:tc>
          <w:tcPr>
            <w:tcW w:w="2530"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left"/>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spacing w:val="8"/>
                <w:kern w:val="0"/>
                <w:sz w:val="24"/>
                <w:szCs w:val="24"/>
                <w:lang w:bidi="mn-Mong-CN"/>
              </w:rPr>
              <w:t>其他费用是指与项目实施直接相关的经费，包括咨询费、培训费、评审费、调研费、会议费和研发人员为项目研发而产生的差旅费等。</w:t>
            </w:r>
          </w:p>
        </w:tc>
        <w:tc>
          <w:tcPr>
            <w:tcW w:w="2585"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left"/>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spacing w:val="8"/>
                <w:kern w:val="0"/>
                <w:sz w:val="24"/>
                <w:szCs w:val="24"/>
                <w:lang w:bidi="mn-Mong-CN"/>
              </w:rPr>
              <w:t>应当在项目申请时单独列示，单独核定；差旅费的申请人必须与研发人员名单一致。其他费用中不能包含业务招待费和日常性经营、管理费用。</w:t>
            </w:r>
          </w:p>
        </w:tc>
        <w:tc>
          <w:tcPr>
            <w:tcW w:w="1127"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left"/>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spacing w:val="8"/>
                <w:kern w:val="0"/>
                <w:sz w:val="24"/>
                <w:szCs w:val="24"/>
                <w:lang w:bidi="mn-Mong-CN"/>
              </w:rPr>
              <w:t>按不大于自筹资金10%的部分予以认定，以被审单位在《项目申报书》中申报的金额为上限。</w:t>
            </w:r>
          </w:p>
        </w:tc>
        <w:tc>
          <w:tcPr>
            <w:tcW w:w="1916" w:type="dxa"/>
            <w:tcBorders>
              <w:top w:val="nil"/>
              <w:left w:val="nil"/>
              <w:bottom w:val="single" w:color="auto" w:sz="6" w:space="0"/>
              <w:right w:val="single" w:color="auto" w:sz="6" w:space="0"/>
            </w:tcBorders>
            <w:shd w:val="clear" w:color="auto" w:fill="FFFFFF"/>
            <w:tcMar>
              <w:top w:w="2" w:type="dxa"/>
              <w:left w:w="2" w:type="dxa"/>
              <w:bottom w:w="2" w:type="dxa"/>
              <w:right w:w="2" w:type="dxa"/>
            </w:tcMar>
            <w:vAlign w:val="center"/>
          </w:tcPr>
          <w:p>
            <w:pPr>
              <w:widowControl/>
              <w:wordWrap w:val="0"/>
              <w:spacing w:line="560" w:lineRule="exact"/>
              <w:jc w:val="left"/>
              <w:textAlignment w:val="center"/>
              <w:rPr>
                <w:rFonts w:ascii="仿宋_GB2312" w:hAnsi="仿宋_GB2312" w:eastAsia="仿宋_GB2312" w:cs="仿宋_GB2312"/>
                <w:spacing w:val="8"/>
                <w:kern w:val="0"/>
                <w:sz w:val="24"/>
                <w:szCs w:val="24"/>
                <w:lang w:bidi="mn-Mong-CN"/>
              </w:rPr>
            </w:pPr>
            <w:r>
              <w:rPr>
                <w:rFonts w:hint="eastAsia" w:ascii="仿宋_GB2312" w:hAnsi="仿宋_GB2312" w:eastAsia="仿宋_GB2312" w:cs="仿宋_GB2312"/>
                <w:spacing w:val="8"/>
                <w:kern w:val="0"/>
                <w:sz w:val="24"/>
                <w:szCs w:val="24"/>
                <w:lang w:bidi="mn-Mong-CN"/>
              </w:rPr>
              <w:t>发票、银行付款水单及其他证明材料</w:t>
            </w:r>
          </w:p>
        </w:tc>
      </w:tr>
    </w:tbl>
    <w:p>
      <w:pPr>
        <w:spacing w:line="560" w:lineRule="exact"/>
        <w:ind w:firstLine="640" w:firstLineChars="2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思源黑体 CN Bold"/>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思源黑体 CN Bold"/>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文鼎ＰＬ简中楷"/>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PakType Naskh Basic"/>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PakType Naskh Basic">
    <w:panose1 w:val="00000400000000000000"/>
    <w:charset w:val="00"/>
    <w:family w:val="auto"/>
    <w:pitch w:val="default"/>
    <w:sig w:usb0="80006003" w:usb1="8000000A" w:usb2="00000008" w:usb3="00000000" w:csb0="00000041" w:csb1="2008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364C"/>
    <w:rsid w:val="00033C66"/>
    <w:rsid w:val="00074B3B"/>
    <w:rsid w:val="00164CDF"/>
    <w:rsid w:val="002D23EA"/>
    <w:rsid w:val="004E3766"/>
    <w:rsid w:val="006F04DD"/>
    <w:rsid w:val="0075364C"/>
    <w:rsid w:val="007D7FA7"/>
    <w:rsid w:val="00883803"/>
    <w:rsid w:val="00941F58"/>
    <w:rsid w:val="009770A2"/>
    <w:rsid w:val="00A03A5B"/>
    <w:rsid w:val="00A541ED"/>
    <w:rsid w:val="00AF6521"/>
    <w:rsid w:val="00B00D7A"/>
    <w:rsid w:val="00B057D0"/>
    <w:rsid w:val="00E54E6B"/>
    <w:rsid w:val="00F24CD6"/>
    <w:rsid w:val="00F5151B"/>
    <w:rsid w:val="00F670DD"/>
    <w:rsid w:val="04F36AFC"/>
    <w:rsid w:val="0942050D"/>
    <w:rsid w:val="0AB15C75"/>
    <w:rsid w:val="0BE20F71"/>
    <w:rsid w:val="13EB0124"/>
    <w:rsid w:val="16F7EC7D"/>
    <w:rsid w:val="18BA66E6"/>
    <w:rsid w:val="1DEE4D17"/>
    <w:rsid w:val="1FE3CEC0"/>
    <w:rsid w:val="1FEF8746"/>
    <w:rsid w:val="21EC266B"/>
    <w:rsid w:val="27C429EC"/>
    <w:rsid w:val="2B4551E7"/>
    <w:rsid w:val="2EFDFF98"/>
    <w:rsid w:val="2F917A7B"/>
    <w:rsid w:val="2FFC9628"/>
    <w:rsid w:val="37AD35CF"/>
    <w:rsid w:val="395E3B90"/>
    <w:rsid w:val="3BBEAF79"/>
    <w:rsid w:val="3E6AAC87"/>
    <w:rsid w:val="3EFF883E"/>
    <w:rsid w:val="3FF7704E"/>
    <w:rsid w:val="4CFC6E1F"/>
    <w:rsid w:val="4FD5076B"/>
    <w:rsid w:val="523EB5F9"/>
    <w:rsid w:val="53CF6C0F"/>
    <w:rsid w:val="597C5BF7"/>
    <w:rsid w:val="5BDC22B7"/>
    <w:rsid w:val="5BEEB330"/>
    <w:rsid w:val="5BF3012F"/>
    <w:rsid w:val="5BF552C9"/>
    <w:rsid w:val="5D274AFE"/>
    <w:rsid w:val="62454724"/>
    <w:rsid w:val="661D5701"/>
    <w:rsid w:val="667E7B16"/>
    <w:rsid w:val="6ADB4BA0"/>
    <w:rsid w:val="6BDAD5DE"/>
    <w:rsid w:val="6FF10D63"/>
    <w:rsid w:val="6FFF007C"/>
    <w:rsid w:val="72AF4886"/>
    <w:rsid w:val="737CC2F7"/>
    <w:rsid w:val="73CC8CF5"/>
    <w:rsid w:val="73EB017F"/>
    <w:rsid w:val="75C97B7F"/>
    <w:rsid w:val="767F4201"/>
    <w:rsid w:val="76D95AA9"/>
    <w:rsid w:val="774EE3B3"/>
    <w:rsid w:val="789C1384"/>
    <w:rsid w:val="7BDE0957"/>
    <w:rsid w:val="7BFDABB0"/>
    <w:rsid w:val="7DD8007B"/>
    <w:rsid w:val="7EEB587A"/>
    <w:rsid w:val="7F2F119A"/>
    <w:rsid w:val="7FEE3CBF"/>
    <w:rsid w:val="7FEF09A8"/>
    <w:rsid w:val="8FD6199A"/>
    <w:rsid w:val="967A1F60"/>
    <w:rsid w:val="99F7B372"/>
    <w:rsid w:val="9FC58EDA"/>
    <w:rsid w:val="A723F1C4"/>
    <w:rsid w:val="BD76B427"/>
    <w:rsid w:val="BDD7D2D5"/>
    <w:rsid w:val="BFDD3312"/>
    <w:rsid w:val="BFFDBEB7"/>
    <w:rsid w:val="C4CF1B49"/>
    <w:rsid w:val="C6E6F197"/>
    <w:rsid w:val="CEB68C68"/>
    <w:rsid w:val="D5FD5928"/>
    <w:rsid w:val="D7E7553D"/>
    <w:rsid w:val="DB7FEEF9"/>
    <w:rsid w:val="DBED7CD5"/>
    <w:rsid w:val="DEF77BEE"/>
    <w:rsid w:val="DF7E242A"/>
    <w:rsid w:val="DFCB728F"/>
    <w:rsid w:val="E875EB2B"/>
    <w:rsid w:val="EBAD18D2"/>
    <w:rsid w:val="EBEF5B7A"/>
    <w:rsid w:val="EFE8551E"/>
    <w:rsid w:val="EFECB285"/>
    <w:rsid w:val="F3BDEEC2"/>
    <w:rsid w:val="F795E9E3"/>
    <w:rsid w:val="FADDEE29"/>
    <w:rsid w:val="FFFB4E57"/>
    <w:rsid w:val="FFFE18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lang w:bidi="mn-Mong-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lang w:bidi="mn-Mong-CN"/>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semiHidden/>
    <w:unhideWhenUsed/>
    <w:qFormat/>
    <w:uiPriority w:val="99"/>
    <w:rPr>
      <w:color w:val="0000FF"/>
      <w:u w:val="single"/>
    </w:rPr>
  </w:style>
  <w:style w:type="character" w:customStyle="1" w:styleId="11">
    <w:name w:val="标题 2 Char"/>
    <w:basedOn w:val="7"/>
    <w:link w:val="2"/>
    <w:qFormat/>
    <w:uiPriority w:val="9"/>
    <w:rPr>
      <w:rFonts w:ascii="宋体" w:hAnsi="宋体" w:eastAsia="宋体" w:cs="宋体"/>
      <w:b/>
      <w:bCs/>
      <w:kern w:val="0"/>
      <w:sz w:val="36"/>
      <w:szCs w:val="36"/>
      <w:lang w:bidi="mn-Mong-CN"/>
    </w:rPr>
  </w:style>
  <w:style w:type="character" w:customStyle="1" w:styleId="12">
    <w:name w:val="rich_media_meta"/>
    <w:basedOn w:val="7"/>
    <w:qFormat/>
    <w:uiPriority w:val="0"/>
  </w:style>
  <w:style w:type="character" w:customStyle="1" w:styleId="13">
    <w:name w:val="页眉 Char"/>
    <w:basedOn w:val="7"/>
    <w:link w:val="4"/>
    <w:qFormat/>
    <w:uiPriority w:val="99"/>
    <w:rPr>
      <w:kern w:val="2"/>
      <w:sz w:val="18"/>
      <w:szCs w:val="18"/>
    </w:rPr>
  </w:style>
  <w:style w:type="character" w:customStyle="1" w:styleId="14">
    <w:name w:val="页脚 Char"/>
    <w:basedOn w:val="7"/>
    <w:link w:val="3"/>
    <w:qFormat/>
    <w:uiPriority w:val="99"/>
    <w:rPr>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1208</Words>
  <Characters>6886</Characters>
  <Lines>57</Lines>
  <Paragraphs>16</Paragraphs>
  <TotalTime>31</TotalTime>
  <ScaleCrop>false</ScaleCrop>
  <LinksUpToDate>false</LinksUpToDate>
  <CharactersWithSpaces>8078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2021-07-21T18:26:00Z</dcterms:created>
  <dc:creator>Administrator</dc:creator>
  <cp:lastModifiedBy>user</cp:lastModifiedBy>
  <cp:lastPrinted>2021-08-02T22:21:00Z</cp:lastPrinted>
  <dcterms:modified xsi:type="dcterms:W3CDTF">2023-05-30T14:44:54Z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92D378018B2340F28169D8602540CDEF</vt:lpwstr>
  </property>
</Properties>
</file>