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_GB2312" w:hAnsi="仿宋_GB2312" w:eastAsia="仿宋_GB2312" w:cs="仿宋_GB2312"/>
          <w:b/>
          <w:bCs/>
          <w:spacing w:val="8"/>
          <w:kern w:val="0"/>
          <w:sz w:val="32"/>
          <w:szCs w:val="32"/>
          <w:lang w:bidi="mn-Mong-CN"/>
        </w:rPr>
      </w:pPr>
      <w:bookmarkStart w:id="0" w:name="_GoBack"/>
      <w:bookmarkEnd w:id="0"/>
      <w:r>
        <w:rPr>
          <w:rFonts w:hint="eastAsia" w:ascii="仿宋_GB2312" w:hAnsi="仿宋_GB2312" w:eastAsia="仿宋_GB2312" w:cs="仿宋_GB2312"/>
          <w:b/>
          <w:bCs/>
          <w:spacing w:val="8"/>
          <w:kern w:val="0"/>
          <w:sz w:val="32"/>
          <w:szCs w:val="32"/>
          <w:lang w:bidi="mn-Mong-CN"/>
        </w:rPr>
        <w:t>附件3 各经费支出项目验收审计认定要求</w:t>
      </w:r>
    </w:p>
    <w:tbl>
      <w:tblPr>
        <w:tblStyle w:val="6"/>
        <w:tblpPr w:leftFromText="180" w:rightFromText="180" w:vertAnchor="text" w:horzAnchor="page" w:tblpX="1344" w:tblpY="187"/>
        <w:tblOverlap w:val="never"/>
        <w:tblW w:w="9758" w:type="dxa"/>
        <w:tblInd w:w="0" w:type="dxa"/>
        <w:shd w:val="clear" w:color="auto" w:fill="FFFFFF"/>
        <w:tblLayout w:type="fixed"/>
        <w:tblCellMar>
          <w:top w:w="0" w:type="dxa"/>
          <w:left w:w="0" w:type="dxa"/>
          <w:bottom w:w="0" w:type="dxa"/>
          <w:right w:w="0" w:type="dxa"/>
        </w:tblCellMar>
      </w:tblPr>
      <w:tblGrid>
        <w:gridCol w:w="485"/>
        <w:gridCol w:w="1115"/>
        <w:gridCol w:w="2530"/>
        <w:gridCol w:w="2585"/>
        <w:gridCol w:w="1127"/>
        <w:gridCol w:w="1916"/>
      </w:tblGrid>
      <w:tr>
        <w:tblPrEx>
          <w:tblCellMar>
            <w:top w:w="0" w:type="dxa"/>
            <w:left w:w="0" w:type="dxa"/>
            <w:bottom w:w="0" w:type="dxa"/>
            <w:right w:w="0" w:type="dxa"/>
          </w:tblCellMar>
        </w:tblPrEx>
        <w:trPr>
          <w:trHeight w:val="780" w:hRule="atLeast"/>
        </w:trPr>
        <w:tc>
          <w:tcPr>
            <w:tcW w:w="485" w:type="dxa"/>
            <w:tcBorders>
              <w:top w:val="single" w:color="000000" w:sz="6" w:space="0"/>
              <w:left w:val="single" w:color="000000" w:sz="6" w:space="0"/>
              <w:bottom w:val="single" w:color="000000" w:sz="6" w:space="0"/>
              <w:right w:val="single" w:color="000000"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序号</w:t>
            </w:r>
          </w:p>
        </w:tc>
        <w:tc>
          <w:tcPr>
            <w:tcW w:w="1115" w:type="dxa"/>
            <w:tcBorders>
              <w:top w:val="single" w:color="auto" w:sz="6" w:space="0"/>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经费支出项目</w:t>
            </w:r>
          </w:p>
        </w:tc>
        <w:tc>
          <w:tcPr>
            <w:tcW w:w="2530" w:type="dxa"/>
            <w:tcBorders>
              <w:top w:val="single" w:color="auto" w:sz="6" w:space="0"/>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支出项目说明</w:t>
            </w:r>
          </w:p>
        </w:tc>
        <w:tc>
          <w:tcPr>
            <w:tcW w:w="2585" w:type="dxa"/>
            <w:tcBorders>
              <w:top w:val="single" w:color="auto" w:sz="6" w:space="0"/>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限制条件</w:t>
            </w:r>
          </w:p>
        </w:tc>
        <w:tc>
          <w:tcPr>
            <w:tcW w:w="1127" w:type="dxa"/>
            <w:tcBorders>
              <w:top w:val="single" w:color="auto" w:sz="6" w:space="0"/>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比例限制</w:t>
            </w:r>
          </w:p>
        </w:tc>
        <w:tc>
          <w:tcPr>
            <w:tcW w:w="1916" w:type="dxa"/>
            <w:tcBorders>
              <w:top w:val="single" w:color="auto" w:sz="6" w:space="0"/>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被审单位需提供的资料</w:t>
            </w:r>
          </w:p>
        </w:tc>
      </w:tr>
      <w:tr>
        <w:tblPrEx>
          <w:tblCellMar>
            <w:top w:w="0" w:type="dxa"/>
            <w:left w:w="0" w:type="dxa"/>
            <w:bottom w:w="0" w:type="dxa"/>
            <w:right w:w="0" w:type="dxa"/>
          </w:tblCellMar>
        </w:tblPrEx>
        <w:trPr>
          <w:trHeight w:val="2235"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1</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设备购置</w:t>
            </w:r>
          </w:p>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和租赁费</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设备购置和租赁费是指在项目实施过程中，购置的与项目有关的仪器或设备支出，对现有设备的升级改造费用，以及租赁其他单位仪器、设备而发生的租赁费用。</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对于使用申报资金购置的单台/件/套大于10万元小于50万元的仪器设备，应通过至少三方的比价确定供应商；对于使用申报资金购置的单台/件/套大于50万元的仪器设备，除通过至少三方的比价确定供应商以外，应提交专家评审意见。</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采购和租赁合同、发票，支付银行水单、三方比价说明（如有）、专家评审意见（如有）、项目的仪器、设备明细和盘点表</w:t>
            </w:r>
          </w:p>
        </w:tc>
      </w:tr>
      <w:tr>
        <w:tblPrEx>
          <w:tblCellMar>
            <w:top w:w="0" w:type="dxa"/>
            <w:left w:w="0" w:type="dxa"/>
            <w:bottom w:w="0" w:type="dxa"/>
            <w:right w:w="0" w:type="dxa"/>
          </w:tblCellMar>
        </w:tblPrEx>
        <w:trPr>
          <w:trHeight w:val="3480"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2</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研发人员</w:t>
            </w:r>
          </w:p>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经费</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研发人员经费是指为直接参加项目实施的项目组成员、因项目需要引进人才和临时聘用人员发放的工资薪金和劳务费用。其中，工资薪金是指直接与项目单位签署一年以上期限的劳动合同、并与项目单位存在实质性雇佣关系的员工在项目研发阶段发生的工资性支出；劳务费用是指因项目需要引进人才和临时聘用人员的劳务性费用，劳务费用的发放对象也应与项目单位签署相应的劳务协议。</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要求提供参与项目实施的项目组研发人员的名单，核对与申报情况一致（包括引进人才和临时聘用人员）。项目组研发人员一人承担多个项目的情况下，应提供工资薪金或劳务费用的分摊明细表等相关资料。工资薪金中不应包含由单位承担的项目组人员社保、住房公积金等社会保障性支出和所有的福利费支出。</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按不大于项目实际总投入的70%予以认定，审计认定数以被审单位在《项目申报书》中申报的金额为上限。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工资核算明细表、银行支付水单、项目组研发人员的名单（与工资核算表一致），经费分摊明细表，劳动合同、劳务协议和个人所得税税单等</w:t>
            </w:r>
          </w:p>
        </w:tc>
      </w:tr>
      <w:tr>
        <w:tblPrEx>
          <w:tblCellMar>
            <w:top w:w="0" w:type="dxa"/>
            <w:left w:w="0" w:type="dxa"/>
            <w:bottom w:w="0" w:type="dxa"/>
            <w:right w:w="0" w:type="dxa"/>
          </w:tblCellMar>
        </w:tblPrEx>
        <w:trPr>
          <w:trHeight w:val="1545"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3</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软件购买和委托开发费</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软件购买和委托开发制作费是指项目实施过程中，所需使用的专业软件购买费用，或者委托第三方专业单位开发、设计和定制的专业软件费用。</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必须是专业软件，不包括常规应用软件和财务软件（如Windows/Mac操作系统、Office软件、常用制图工具软件等）。</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软件购买合同、发票；委托开发软件的合同、发票、银行支付水单等</w:t>
            </w:r>
          </w:p>
        </w:tc>
      </w:tr>
      <w:tr>
        <w:tblPrEx>
          <w:tblCellMar>
            <w:top w:w="0" w:type="dxa"/>
            <w:left w:w="0" w:type="dxa"/>
            <w:bottom w:w="0" w:type="dxa"/>
            <w:right w:w="0" w:type="dxa"/>
          </w:tblCellMar>
        </w:tblPrEx>
        <w:trPr>
          <w:trHeight w:val="689"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4</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委托测试费</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委托业务费是指在项目实施过程中，支付给外部单位（包括项目承担单位内部独立经济核算单位）的检验、检测和试验费用。</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被委托方可以是外部第三方，也可以是项目承担单位内部独立经济核算单位，即：必须能够独立核算、自负盈亏。</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委托检验、测试的合同，发票、成果报告，银行支付水单等</w:t>
            </w:r>
          </w:p>
        </w:tc>
      </w:tr>
      <w:tr>
        <w:tblPrEx>
          <w:tblCellMar>
            <w:top w:w="0" w:type="dxa"/>
            <w:left w:w="0" w:type="dxa"/>
            <w:bottom w:w="0" w:type="dxa"/>
            <w:right w:w="0" w:type="dxa"/>
          </w:tblCellMar>
        </w:tblPrEx>
        <w:trPr>
          <w:trHeight w:val="1665"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5</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商业渠道</w:t>
            </w:r>
          </w:p>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拓展费用</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商业渠道拓展费用是指为项目成果的应用进行推广和宣传的费用。</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不包括为推广和宣传产品发生的业务招待费和差旅费。</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各类相关合同、发票和银行付款水单等</w:t>
            </w:r>
          </w:p>
        </w:tc>
      </w:tr>
      <w:tr>
        <w:tblPrEx>
          <w:tblCellMar>
            <w:top w:w="0" w:type="dxa"/>
            <w:left w:w="0" w:type="dxa"/>
            <w:bottom w:w="0" w:type="dxa"/>
            <w:right w:w="0" w:type="dxa"/>
          </w:tblCellMar>
        </w:tblPrEx>
        <w:trPr>
          <w:trHeight w:val="1560"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6</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信息和知识产权事务费</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信息和知识产权事务费是指在项目实施过程中需要支付的出版费、资料费、文献检索费、信息采集与交换费、专利申请费（含代理申请）及其他知识产权事务费用等。</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不包括日常的通讯费、快递费、办公资料费等与项目无关、属于日常性的经营费用。 </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审计认定数以被审单位在《项目申报书》中申报的金额为上限。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发票、银行付款水单及其他证明材料</w:t>
            </w:r>
          </w:p>
        </w:tc>
      </w:tr>
      <w:tr>
        <w:tblPrEx>
          <w:tblCellMar>
            <w:top w:w="0" w:type="dxa"/>
            <w:left w:w="0" w:type="dxa"/>
            <w:bottom w:w="0" w:type="dxa"/>
            <w:right w:w="0" w:type="dxa"/>
          </w:tblCellMar>
        </w:tblPrEx>
        <w:trPr>
          <w:trHeight w:val="2160" w:hRule="atLeast"/>
        </w:trPr>
        <w:tc>
          <w:tcPr>
            <w:tcW w:w="485" w:type="dxa"/>
            <w:tcBorders>
              <w:top w:val="nil"/>
              <w:left w:val="single" w:color="auto" w:sz="6" w:space="0"/>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7</w:t>
            </w:r>
          </w:p>
        </w:tc>
        <w:tc>
          <w:tcPr>
            <w:tcW w:w="111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center"/>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b/>
                <w:bCs/>
                <w:spacing w:val="8"/>
                <w:kern w:val="0"/>
                <w:sz w:val="24"/>
                <w:szCs w:val="24"/>
                <w:lang w:bidi="mn-Mong-CN"/>
              </w:rPr>
              <w:t>其他费用</w:t>
            </w:r>
          </w:p>
        </w:tc>
        <w:tc>
          <w:tcPr>
            <w:tcW w:w="2530"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其他费用是指与项目实施直接相关的经费，包括咨询费、培训费、评审费、调研费、会议费和研发人员为项目研发而产生的差旅费等。</w:t>
            </w:r>
          </w:p>
        </w:tc>
        <w:tc>
          <w:tcPr>
            <w:tcW w:w="2585"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应当在项目申请时单独列示，单独核定；差旅费的申请人必须与研发人员名单一致。其他费用中不能包含业务招待费和日常性经营、管理费用。</w:t>
            </w:r>
          </w:p>
        </w:tc>
        <w:tc>
          <w:tcPr>
            <w:tcW w:w="1127"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按不大于自筹资金10%的部分予以认定，以被审单位在《项目申报书》中申报的金额为上限。</w:t>
            </w:r>
          </w:p>
        </w:tc>
        <w:tc>
          <w:tcPr>
            <w:tcW w:w="1916" w:type="dxa"/>
            <w:tcBorders>
              <w:top w:val="nil"/>
              <w:left w:val="nil"/>
              <w:bottom w:val="single" w:color="auto" w:sz="6" w:space="0"/>
              <w:right w:val="single" w:color="auto" w:sz="6" w:space="0"/>
            </w:tcBorders>
            <w:shd w:val="clear" w:color="auto" w:fill="FFFFFF"/>
            <w:tcMar>
              <w:top w:w="2" w:type="dxa"/>
              <w:left w:w="2" w:type="dxa"/>
              <w:bottom w:w="2" w:type="dxa"/>
              <w:right w:w="2" w:type="dxa"/>
            </w:tcMar>
            <w:vAlign w:val="center"/>
          </w:tcPr>
          <w:p>
            <w:pPr>
              <w:widowControl/>
              <w:wordWrap w:val="0"/>
              <w:spacing w:line="560" w:lineRule="exact"/>
              <w:jc w:val="left"/>
              <w:textAlignment w:val="center"/>
              <w:rPr>
                <w:rFonts w:ascii="仿宋_GB2312" w:hAnsi="仿宋_GB2312" w:eastAsia="仿宋_GB2312" w:cs="仿宋_GB2312"/>
                <w:spacing w:val="8"/>
                <w:kern w:val="0"/>
                <w:sz w:val="24"/>
                <w:szCs w:val="24"/>
                <w:lang w:bidi="mn-Mong-CN"/>
              </w:rPr>
            </w:pPr>
            <w:r>
              <w:rPr>
                <w:rFonts w:hint="eastAsia" w:ascii="仿宋_GB2312" w:hAnsi="仿宋_GB2312" w:eastAsia="仿宋_GB2312" w:cs="仿宋_GB2312"/>
                <w:spacing w:val="8"/>
                <w:kern w:val="0"/>
                <w:sz w:val="24"/>
                <w:szCs w:val="24"/>
                <w:lang w:bidi="mn-Mong-CN"/>
              </w:rPr>
              <w:t>发票、银行付款水单及其他证明材料</w:t>
            </w:r>
          </w:p>
        </w:tc>
      </w:tr>
    </w:tbl>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思源黑体 CN Bold"/>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鼎ＰＬ简中楷"/>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PakType Naskh Basic">
    <w:panose1 w:val="00000400000000000000"/>
    <w:charset w:val="00"/>
    <w:family w:val="auto"/>
    <w:pitch w:val="default"/>
    <w:sig w:usb0="80006003" w:usb1="8000000A" w:usb2="00000008" w:usb3="00000000" w:csb0="00000041" w:csb1="2008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64C"/>
    <w:rsid w:val="00033C66"/>
    <w:rsid w:val="00074B3B"/>
    <w:rsid w:val="00164CDF"/>
    <w:rsid w:val="002D23EA"/>
    <w:rsid w:val="004E3766"/>
    <w:rsid w:val="006F04DD"/>
    <w:rsid w:val="0075364C"/>
    <w:rsid w:val="007D7FA7"/>
    <w:rsid w:val="00883803"/>
    <w:rsid w:val="00941F58"/>
    <w:rsid w:val="009770A2"/>
    <w:rsid w:val="00A03A5B"/>
    <w:rsid w:val="00A541ED"/>
    <w:rsid w:val="00AF6521"/>
    <w:rsid w:val="00B00D7A"/>
    <w:rsid w:val="00B057D0"/>
    <w:rsid w:val="00E54E6B"/>
    <w:rsid w:val="00F24CD6"/>
    <w:rsid w:val="00F5151B"/>
    <w:rsid w:val="00F670DD"/>
    <w:rsid w:val="04F36AFC"/>
    <w:rsid w:val="0942050D"/>
    <w:rsid w:val="0AB15C75"/>
    <w:rsid w:val="0BE20F71"/>
    <w:rsid w:val="13EB0124"/>
    <w:rsid w:val="16F7EC7D"/>
    <w:rsid w:val="18BA66E6"/>
    <w:rsid w:val="1DEE4D17"/>
    <w:rsid w:val="1FE3CEC0"/>
    <w:rsid w:val="1FEF8746"/>
    <w:rsid w:val="21EC266B"/>
    <w:rsid w:val="27C429EC"/>
    <w:rsid w:val="2B4551E7"/>
    <w:rsid w:val="2EFDFF98"/>
    <w:rsid w:val="2F917A7B"/>
    <w:rsid w:val="2FFC9628"/>
    <w:rsid w:val="37AD35CF"/>
    <w:rsid w:val="395E3B90"/>
    <w:rsid w:val="3BBEAF79"/>
    <w:rsid w:val="3E6AAC87"/>
    <w:rsid w:val="3EFF883E"/>
    <w:rsid w:val="3FF7704E"/>
    <w:rsid w:val="4CFC6E1F"/>
    <w:rsid w:val="4FD5076B"/>
    <w:rsid w:val="523EB5F9"/>
    <w:rsid w:val="53CF6C0F"/>
    <w:rsid w:val="597C5BF7"/>
    <w:rsid w:val="5BDC22B7"/>
    <w:rsid w:val="5BEEB330"/>
    <w:rsid w:val="5BF3012F"/>
    <w:rsid w:val="5BF552C9"/>
    <w:rsid w:val="5D274AFE"/>
    <w:rsid w:val="62454724"/>
    <w:rsid w:val="661D5701"/>
    <w:rsid w:val="667E7B16"/>
    <w:rsid w:val="6ADB4BA0"/>
    <w:rsid w:val="6BDAD5DE"/>
    <w:rsid w:val="6FF10D63"/>
    <w:rsid w:val="6FFF007C"/>
    <w:rsid w:val="72AF4886"/>
    <w:rsid w:val="737CC2F7"/>
    <w:rsid w:val="73CC8CF5"/>
    <w:rsid w:val="73EB017F"/>
    <w:rsid w:val="75C97B7F"/>
    <w:rsid w:val="767F4201"/>
    <w:rsid w:val="76D95AA9"/>
    <w:rsid w:val="774EE3B3"/>
    <w:rsid w:val="789C1384"/>
    <w:rsid w:val="7BDE0957"/>
    <w:rsid w:val="7BFDABB0"/>
    <w:rsid w:val="7DD8007B"/>
    <w:rsid w:val="7EEB587A"/>
    <w:rsid w:val="7F2F119A"/>
    <w:rsid w:val="7FEE3CBF"/>
    <w:rsid w:val="7FEF09A8"/>
    <w:rsid w:val="8FD6199A"/>
    <w:rsid w:val="967A1F60"/>
    <w:rsid w:val="99F7B372"/>
    <w:rsid w:val="9FC58EDA"/>
    <w:rsid w:val="A723F1C4"/>
    <w:rsid w:val="BD76B427"/>
    <w:rsid w:val="BDD7D2D5"/>
    <w:rsid w:val="BFDD3312"/>
    <w:rsid w:val="BFFDBEB7"/>
    <w:rsid w:val="C4CF1B49"/>
    <w:rsid w:val="C6E6F197"/>
    <w:rsid w:val="CEB68C68"/>
    <w:rsid w:val="D5FD5928"/>
    <w:rsid w:val="D7E7553D"/>
    <w:rsid w:val="DB7FEEF9"/>
    <w:rsid w:val="DBED7CD5"/>
    <w:rsid w:val="DEF77BEE"/>
    <w:rsid w:val="DF7E242A"/>
    <w:rsid w:val="DFCB728F"/>
    <w:rsid w:val="E875EB2B"/>
    <w:rsid w:val="EBAD18D2"/>
    <w:rsid w:val="EBEF5B7A"/>
    <w:rsid w:val="EFE8551E"/>
    <w:rsid w:val="EFECB285"/>
    <w:rsid w:val="F3BDEEC2"/>
    <w:rsid w:val="F795E9E3"/>
    <w:rsid w:val="FADDEE29"/>
    <w:rsid w:val="FFFB4E57"/>
    <w:rsid w:val="FFFE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lang w:bidi="mn-Mong-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lang w:bidi="mn-Mong-CN"/>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2 Char"/>
    <w:basedOn w:val="7"/>
    <w:link w:val="2"/>
    <w:qFormat/>
    <w:uiPriority w:val="9"/>
    <w:rPr>
      <w:rFonts w:ascii="宋体" w:hAnsi="宋体" w:eastAsia="宋体" w:cs="宋体"/>
      <w:b/>
      <w:bCs/>
      <w:kern w:val="0"/>
      <w:sz w:val="36"/>
      <w:szCs w:val="36"/>
      <w:lang w:bidi="mn-Mong-CN"/>
    </w:rPr>
  </w:style>
  <w:style w:type="character" w:customStyle="1" w:styleId="12">
    <w:name w:val="rich_media_meta"/>
    <w:basedOn w:val="7"/>
    <w:qFormat/>
    <w:uiPriority w:val="0"/>
  </w:style>
  <w:style w:type="character" w:customStyle="1" w:styleId="13">
    <w:name w:val="页眉 Char"/>
    <w:basedOn w:val="7"/>
    <w:link w:val="4"/>
    <w:qFormat/>
    <w:uiPriority w:val="99"/>
    <w:rPr>
      <w:kern w:val="2"/>
      <w:sz w:val="18"/>
      <w:szCs w:val="18"/>
    </w:rPr>
  </w:style>
  <w:style w:type="character" w:customStyle="1" w:styleId="14">
    <w:name w:val="页脚 Char"/>
    <w:basedOn w:val="7"/>
    <w:link w:val="3"/>
    <w:qFormat/>
    <w:uiPriority w:val="99"/>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1208</Words>
  <Characters>6886</Characters>
  <Lines>57</Lines>
  <Paragraphs>16</Paragraphs>
  <TotalTime>31</TotalTime>
  <ScaleCrop>false</ScaleCrop>
  <LinksUpToDate>false</LinksUpToDate>
  <CharactersWithSpaces>8078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2021-07-21T18:26:00Z</dcterms:created>
  <dc:creator>Administrator</dc:creator>
  <cp:lastModifiedBy>user</cp:lastModifiedBy>
  <cp:lastPrinted>2021-08-02T22:21:00Z</cp:lastPrinted>
  <dcterms:modified xsi:type="dcterms:W3CDTF">2023-05-30T14:44:54Z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92D378018B2340F28169D8602540CDEF</vt:lpwstr>
  </property>
</Properties>
</file>